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B3" w:rsidRPr="00F76638" w:rsidRDefault="00C71006" w:rsidP="006F33B3">
      <w:pPr>
        <w:keepNext/>
        <w:jc w:val="center"/>
        <w:outlineLvl w:val="0"/>
        <w:rPr>
          <w:bCs/>
          <w:sz w:val="24"/>
          <w:szCs w:val="24"/>
          <w:lang w:val="x-none" w:eastAsia="x-none"/>
        </w:rPr>
      </w:pPr>
      <w:r w:rsidRPr="00BE6696">
        <w:rPr>
          <w:b/>
          <w:bCs/>
          <w:sz w:val="24"/>
          <w:szCs w:val="24"/>
          <w:lang w:val="ky-KG" w:eastAsia="x-none"/>
        </w:rPr>
        <w:t>2021-</w:t>
      </w:r>
      <w:r w:rsidR="006F33B3" w:rsidRPr="00BE6696">
        <w:rPr>
          <w:b/>
          <w:bCs/>
          <w:sz w:val="24"/>
          <w:szCs w:val="24"/>
          <w:lang w:val="ky-KG" w:eastAsia="x-none"/>
        </w:rPr>
        <w:t xml:space="preserve">жылы </w:t>
      </w:r>
      <w:r w:rsidR="006F33B3" w:rsidRPr="00BE6696">
        <w:rPr>
          <w:b/>
          <w:bCs/>
          <w:sz w:val="24"/>
          <w:szCs w:val="24"/>
          <w:lang w:val="x-none" w:eastAsia="x-none"/>
        </w:rPr>
        <w:t xml:space="preserve">Кыргыз Республикасынын </w:t>
      </w:r>
      <w:r w:rsidR="00F76638" w:rsidRPr="00BE6696">
        <w:rPr>
          <w:b/>
          <w:bCs/>
          <w:sz w:val="24"/>
          <w:szCs w:val="24"/>
          <w:lang w:eastAsia="x-none"/>
        </w:rPr>
        <w:t xml:space="preserve">экономика </w:t>
      </w:r>
      <w:r w:rsidR="006F33B3" w:rsidRPr="00BE6696">
        <w:rPr>
          <w:b/>
          <w:bCs/>
          <w:sz w:val="24"/>
          <w:szCs w:val="24"/>
          <w:lang w:val="x-none" w:eastAsia="x-none"/>
        </w:rPr>
        <w:t>ишканаларынын финансы</w:t>
      </w:r>
      <w:r w:rsidR="006F33B3" w:rsidRPr="00BE6696">
        <w:rPr>
          <w:b/>
          <w:bCs/>
          <w:sz w:val="24"/>
          <w:szCs w:val="24"/>
          <w:lang w:eastAsia="x-none"/>
        </w:rPr>
        <w:t>сы</w:t>
      </w:r>
      <w:r w:rsidR="006F33B3" w:rsidRPr="00F76638">
        <w:rPr>
          <w:b/>
          <w:bCs/>
          <w:sz w:val="24"/>
          <w:szCs w:val="24"/>
          <w:lang w:val="ky-KG" w:eastAsia="x-none"/>
        </w:rPr>
        <w:t xml:space="preserve"> </w:t>
      </w:r>
    </w:p>
    <w:p w:rsidR="006F33B3" w:rsidRPr="009539E0" w:rsidRDefault="006F33B3" w:rsidP="006F33B3">
      <w:pPr>
        <w:rPr>
          <w:sz w:val="16"/>
          <w:szCs w:val="16"/>
          <w:lang w:val="ky-KG"/>
        </w:rPr>
      </w:pPr>
    </w:p>
    <w:p w:rsidR="006F33B3" w:rsidRDefault="006F33B3" w:rsidP="006F33B3">
      <w:pPr>
        <w:ind w:firstLine="709"/>
        <w:jc w:val="both"/>
        <w:rPr>
          <w:sz w:val="24"/>
          <w:szCs w:val="24"/>
          <w:lang w:val="ky-KG"/>
        </w:rPr>
      </w:pPr>
      <w:r w:rsidRPr="009539E0">
        <w:rPr>
          <w:sz w:val="24"/>
          <w:szCs w:val="24"/>
          <w:lang w:val="ky-KG"/>
        </w:rPr>
        <w:t>202</w:t>
      </w:r>
      <w:r>
        <w:rPr>
          <w:sz w:val="24"/>
          <w:szCs w:val="24"/>
          <w:lang w:val="ky-KG"/>
        </w:rPr>
        <w:t>1-ж.</w:t>
      </w:r>
      <w:r w:rsidRPr="009539E0">
        <w:rPr>
          <w:sz w:val="24"/>
          <w:szCs w:val="24"/>
          <w:lang w:val="ky-KG"/>
        </w:rPr>
        <w:t xml:space="preserve"> Кыргыз Республикасынын эко</w:t>
      </w:r>
      <w:r>
        <w:rPr>
          <w:sz w:val="24"/>
          <w:szCs w:val="24"/>
          <w:lang w:val="ky-KG"/>
        </w:rPr>
        <w:t>номика ишканаларынын ишмердиги алардын экономикалык жигерд</w:t>
      </w:r>
      <w:r w:rsidRPr="009539E0">
        <w:rPr>
          <w:sz w:val="24"/>
          <w:szCs w:val="24"/>
          <w:lang w:val="ky-KG"/>
        </w:rPr>
        <w:t>үү</w:t>
      </w:r>
      <w:r>
        <w:rPr>
          <w:sz w:val="24"/>
          <w:szCs w:val="24"/>
          <w:lang w:val="ky-KG"/>
        </w:rPr>
        <w:t>л</w:t>
      </w:r>
      <w:r w:rsidRPr="009539E0">
        <w:rPr>
          <w:sz w:val="24"/>
          <w:szCs w:val="24"/>
          <w:lang w:val="ky-KG"/>
        </w:rPr>
        <w:t>ү</w:t>
      </w:r>
      <w:r>
        <w:rPr>
          <w:sz w:val="24"/>
          <w:szCs w:val="24"/>
          <w:lang w:val="ky-KG"/>
        </w:rPr>
        <w:t>г</w:t>
      </w:r>
      <w:r w:rsidRPr="009539E0">
        <w:rPr>
          <w:sz w:val="24"/>
          <w:szCs w:val="24"/>
          <w:lang w:val="ky-KG"/>
        </w:rPr>
        <w:t>ү</w:t>
      </w:r>
      <w:r>
        <w:rPr>
          <w:sz w:val="24"/>
          <w:szCs w:val="24"/>
          <w:lang w:val="ky-KG"/>
        </w:rPr>
        <w:t>н калыбына келтир</w:t>
      </w:r>
      <w:r w:rsidRPr="009539E0">
        <w:rPr>
          <w:sz w:val="24"/>
          <w:szCs w:val="24"/>
          <w:lang w:val="ky-KG"/>
        </w:rPr>
        <w:t>үү</w:t>
      </w:r>
      <w:r>
        <w:rPr>
          <w:sz w:val="24"/>
          <w:szCs w:val="24"/>
          <w:lang w:val="ky-KG"/>
        </w:rPr>
        <w:t xml:space="preserve"> менен м</w:t>
      </w:r>
      <w:r w:rsidRPr="009539E0">
        <w:rPr>
          <w:sz w:val="24"/>
          <w:szCs w:val="24"/>
          <w:lang w:val="ky-KG"/>
        </w:rPr>
        <w:t>ү</w:t>
      </w:r>
      <w:r>
        <w:rPr>
          <w:sz w:val="24"/>
          <w:szCs w:val="24"/>
          <w:lang w:val="ky-KG"/>
        </w:rPr>
        <w:t>н</w:t>
      </w:r>
      <w:r w:rsidRPr="009539E0">
        <w:rPr>
          <w:sz w:val="24"/>
          <w:szCs w:val="24"/>
          <w:lang w:val="ky-KG"/>
        </w:rPr>
        <w:t>ө</w:t>
      </w:r>
      <w:r>
        <w:rPr>
          <w:sz w:val="24"/>
          <w:szCs w:val="24"/>
          <w:lang w:val="ky-KG"/>
        </w:rPr>
        <w:t>зд</w:t>
      </w:r>
      <w:r w:rsidRPr="009539E0">
        <w:rPr>
          <w:sz w:val="24"/>
          <w:szCs w:val="24"/>
          <w:lang w:val="ky-KG"/>
        </w:rPr>
        <w:t>ө</w:t>
      </w:r>
      <w:r>
        <w:rPr>
          <w:sz w:val="24"/>
          <w:szCs w:val="24"/>
          <w:lang w:val="ky-KG"/>
        </w:rPr>
        <w:t>лг</w:t>
      </w:r>
      <w:r w:rsidRPr="009539E0">
        <w:rPr>
          <w:sz w:val="24"/>
          <w:szCs w:val="24"/>
          <w:lang w:val="ky-KG"/>
        </w:rPr>
        <w:t>ө</w:t>
      </w:r>
      <w:r>
        <w:rPr>
          <w:sz w:val="24"/>
          <w:szCs w:val="24"/>
          <w:lang w:val="ky-KG"/>
        </w:rPr>
        <w:t xml:space="preserve">н, бул </w:t>
      </w:r>
      <w:r w:rsidRPr="009539E0">
        <w:rPr>
          <w:sz w:val="24"/>
          <w:szCs w:val="24"/>
          <w:lang w:val="ky-KG"/>
        </w:rPr>
        <w:t>ө</w:t>
      </w:r>
      <w:r>
        <w:rPr>
          <w:sz w:val="24"/>
          <w:szCs w:val="24"/>
          <w:lang w:val="ky-KG"/>
        </w:rPr>
        <w:t>лк</w:t>
      </w:r>
      <w:r w:rsidRPr="009539E0">
        <w:rPr>
          <w:sz w:val="24"/>
          <w:szCs w:val="24"/>
          <w:lang w:val="ky-KG"/>
        </w:rPr>
        <w:t>ө</w:t>
      </w:r>
      <w:r>
        <w:rPr>
          <w:sz w:val="24"/>
          <w:szCs w:val="24"/>
          <w:lang w:val="ky-KG"/>
        </w:rPr>
        <w:t>д</w:t>
      </w:r>
      <w:r w:rsidRPr="009539E0">
        <w:rPr>
          <w:sz w:val="24"/>
          <w:szCs w:val="24"/>
          <w:lang w:val="ky-KG"/>
        </w:rPr>
        <w:t>ө</w:t>
      </w:r>
      <w:r w:rsidRPr="007E04A6">
        <w:rPr>
          <w:sz w:val="24"/>
          <w:szCs w:val="24"/>
          <w:lang w:val="ky-KG"/>
        </w:rPr>
        <w:t xml:space="preserve"> </w:t>
      </w:r>
      <w:r w:rsidRPr="009539E0">
        <w:rPr>
          <w:sz w:val="24"/>
          <w:szCs w:val="24"/>
          <w:lang w:val="ky-KG"/>
        </w:rPr>
        <w:t>саясий кырдаалдын</w:t>
      </w:r>
      <w:r>
        <w:rPr>
          <w:sz w:val="24"/>
          <w:szCs w:val="24"/>
          <w:lang w:val="ky-KG"/>
        </w:rPr>
        <w:t xml:space="preserve"> </w:t>
      </w:r>
      <w:r w:rsidRPr="00933452">
        <w:rPr>
          <w:sz w:val="24"/>
          <w:szCs w:val="24"/>
          <w:lang w:val="ky-KG"/>
        </w:rPr>
        <w:t>турукташтыруу</w:t>
      </w:r>
      <w:r>
        <w:rPr>
          <w:sz w:val="24"/>
          <w:szCs w:val="24"/>
          <w:lang w:val="ky-KG"/>
        </w:rPr>
        <w:t xml:space="preserve"> </w:t>
      </w:r>
      <w:r w:rsidRPr="00933452">
        <w:rPr>
          <w:sz w:val="24"/>
          <w:szCs w:val="24"/>
          <w:lang w:val="ky-KG"/>
        </w:rPr>
        <w:t>менен</w:t>
      </w:r>
      <w:r>
        <w:rPr>
          <w:sz w:val="24"/>
          <w:szCs w:val="24"/>
          <w:lang w:val="ky-KG"/>
        </w:rPr>
        <w:t xml:space="preserve">, ошондой эле </w:t>
      </w:r>
      <w:r w:rsidRPr="00933452">
        <w:rPr>
          <w:sz w:val="24"/>
          <w:szCs w:val="24"/>
          <w:lang w:val="ky-KG"/>
        </w:rPr>
        <w:t xml:space="preserve">COVID-19 пандемиясынан кийинки </w:t>
      </w:r>
      <w:r w:rsidRPr="009539E0">
        <w:rPr>
          <w:sz w:val="24"/>
          <w:szCs w:val="24"/>
          <w:lang w:val="ky-KG"/>
        </w:rPr>
        <w:t>негативдүү</w:t>
      </w:r>
      <w:r w:rsidRPr="00933452">
        <w:rPr>
          <w:sz w:val="24"/>
          <w:szCs w:val="24"/>
          <w:lang w:val="ky-KG"/>
        </w:rPr>
        <w:t xml:space="preserve"> кырдаалды турукташтыруу менен шартталды. </w:t>
      </w:r>
    </w:p>
    <w:p w:rsidR="006F33B3" w:rsidRPr="009539E0" w:rsidRDefault="006F33B3" w:rsidP="00D34CBE">
      <w:pPr>
        <w:spacing w:before="120"/>
        <w:ind w:firstLine="709"/>
        <w:jc w:val="both"/>
        <w:rPr>
          <w:sz w:val="24"/>
          <w:szCs w:val="24"/>
          <w:lang w:val="ky-KG"/>
        </w:rPr>
      </w:pPr>
      <w:r w:rsidRPr="009539E0">
        <w:rPr>
          <w:sz w:val="24"/>
          <w:szCs w:val="24"/>
          <w:lang w:val="ky-KG"/>
        </w:rPr>
        <w:t>202</w:t>
      </w:r>
      <w:r>
        <w:rPr>
          <w:sz w:val="24"/>
          <w:szCs w:val="24"/>
          <w:lang w:val="ky-KG"/>
        </w:rPr>
        <w:t>1-ж.</w:t>
      </w:r>
      <w:r w:rsidRPr="009539E0">
        <w:rPr>
          <w:sz w:val="24"/>
          <w:szCs w:val="24"/>
          <w:lang w:val="ky-KG"/>
        </w:rPr>
        <w:t xml:space="preserve"> республиканын экономикасында финансылык-чарбалык ишмердиктерди 22,</w:t>
      </w:r>
      <w:r>
        <w:rPr>
          <w:sz w:val="24"/>
          <w:szCs w:val="24"/>
          <w:lang w:val="ky-KG"/>
        </w:rPr>
        <w:t>3</w:t>
      </w:r>
      <w:r w:rsidRPr="009539E0">
        <w:rPr>
          <w:sz w:val="24"/>
          <w:szCs w:val="24"/>
          <w:lang w:val="ky-KG"/>
        </w:rPr>
        <w:t xml:space="preserve"> миң ишканалар жана уюмдар жүргүздү</w:t>
      </w:r>
      <w:r>
        <w:rPr>
          <w:sz w:val="24"/>
          <w:szCs w:val="24"/>
          <w:lang w:val="ky-KG"/>
        </w:rPr>
        <w:t xml:space="preserve">, мында алардын </w:t>
      </w:r>
      <w:r w:rsidRPr="009539E0">
        <w:rPr>
          <w:sz w:val="24"/>
          <w:szCs w:val="24"/>
          <w:lang w:val="ky-KG"/>
        </w:rPr>
        <w:t>жалпы санынын 97</w:t>
      </w:r>
      <w:r>
        <w:rPr>
          <w:sz w:val="24"/>
          <w:szCs w:val="24"/>
          <w:lang w:val="ky-KG"/>
        </w:rPr>
        <w:t>,2</w:t>
      </w:r>
      <w:r w:rsidRPr="009539E0">
        <w:rPr>
          <w:sz w:val="24"/>
          <w:szCs w:val="24"/>
          <w:lang w:val="ky-KG"/>
        </w:rPr>
        <w:t xml:space="preserve"> пайызы</w:t>
      </w:r>
      <w:r>
        <w:rPr>
          <w:sz w:val="24"/>
          <w:szCs w:val="24"/>
          <w:lang w:val="ky-KG"/>
        </w:rPr>
        <w:t xml:space="preserve"> (21,7 </w:t>
      </w:r>
      <w:r w:rsidRPr="009539E0">
        <w:rPr>
          <w:sz w:val="24"/>
          <w:szCs w:val="24"/>
          <w:lang w:val="ky-KG"/>
        </w:rPr>
        <w:t>миң</w:t>
      </w:r>
      <w:r>
        <w:rPr>
          <w:sz w:val="24"/>
          <w:szCs w:val="24"/>
          <w:lang w:val="ky-KG"/>
        </w:rPr>
        <w:t xml:space="preserve"> ишканалар)</w:t>
      </w:r>
      <w:r w:rsidRPr="009539E0">
        <w:rPr>
          <w:sz w:val="24"/>
          <w:szCs w:val="24"/>
          <w:lang w:val="ky-KG"/>
        </w:rPr>
        <w:t xml:space="preserve"> реалдуу (финансылык эмес) секторуна, </w:t>
      </w:r>
      <w:r>
        <w:rPr>
          <w:sz w:val="24"/>
          <w:szCs w:val="24"/>
          <w:lang w:val="ky-KG"/>
        </w:rPr>
        <w:t>2,8</w:t>
      </w:r>
      <w:r w:rsidRPr="009539E0">
        <w:rPr>
          <w:sz w:val="24"/>
          <w:szCs w:val="24"/>
          <w:lang w:val="ky-KG"/>
        </w:rPr>
        <w:t xml:space="preserve"> пайызы (</w:t>
      </w:r>
      <w:r>
        <w:rPr>
          <w:sz w:val="24"/>
          <w:szCs w:val="24"/>
          <w:lang w:val="ky-KG"/>
        </w:rPr>
        <w:t>628</w:t>
      </w:r>
      <w:r w:rsidRPr="009539E0">
        <w:rPr>
          <w:sz w:val="24"/>
          <w:szCs w:val="24"/>
          <w:lang w:val="ky-KG"/>
        </w:rPr>
        <w:t xml:space="preserve"> уюмдар) - экономиканын финансылык секторуна туура келди. Тармактар бөлүнүшүндөгү экономика ишканаларынын жалпы санынын 27,</w:t>
      </w:r>
      <w:r>
        <w:rPr>
          <w:sz w:val="24"/>
          <w:szCs w:val="24"/>
          <w:lang w:val="ky-KG"/>
        </w:rPr>
        <w:t>5</w:t>
      </w:r>
      <w:r w:rsidRPr="009539E0">
        <w:rPr>
          <w:sz w:val="24"/>
          <w:szCs w:val="24"/>
          <w:lang w:val="ky-KG"/>
        </w:rPr>
        <w:t xml:space="preserve"> пайызы соода чөйрөсүндө, 14,2 пайызы - өнөр-жай тармагында, 11,7 п</w:t>
      </w:r>
      <w:r>
        <w:rPr>
          <w:sz w:val="24"/>
          <w:szCs w:val="24"/>
          <w:lang w:val="ky-KG"/>
        </w:rPr>
        <w:t>айызы - курулушта</w:t>
      </w:r>
      <w:r w:rsidRPr="009539E0">
        <w:rPr>
          <w:sz w:val="24"/>
          <w:szCs w:val="24"/>
          <w:lang w:val="ky-KG"/>
        </w:rPr>
        <w:t>, 10,</w:t>
      </w:r>
      <w:r>
        <w:rPr>
          <w:sz w:val="24"/>
          <w:szCs w:val="24"/>
          <w:lang w:val="ky-KG"/>
        </w:rPr>
        <w:t>1</w:t>
      </w:r>
      <w:r w:rsidRPr="009539E0">
        <w:rPr>
          <w:sz w:val="24"/>
          <w:szCs w:val="24"/>
          <w:lang w:val="ky-KG"/>
        </w:rPr>
        <w:t xml:space="preserve"> пайызы - кесиптик, илимий жана техникалык ишмердигин жүргүзүүчү уюмдарында ишмердиктерин жүргүздү.</w:t>
      </w:r>
    </w:p>
    <w:p w:rsidR="006F33B3" w:rsidRPr="009539E0" w:rsidRDefault="006F33B3" w:rsidP="00D34CBE">
      <w:pPr>
        <w:spacing w:before="120"/>
        <w:ind w:firstLine="709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2021-жылы </w:t>
      </w:r>
      <w:r w:rsidRPr="000241E5">
        <w:rPr>
          <w:sz w:val="24"/>
          <w:szCs w:val="24"/>
          <w:lang w:val="ky-KG"/>
        </w:rPr>
        <w:t>өткөн жылга салыштырмалуу рентабелдүү ишканалардын саны</w:t>
      </w:r>
      <w:r>
        <w:rPr>
          <w:sz w:val="24"/>
          <w:szCs w:val="24"/>
          <w:lang w:val="ky-KG"/>
        </w:rPr>
        <w:t>нын өс</w:t>
      </w:r>
      <w:r w:rsidRPr="000241E5">
        <w:rPr>
          <w:sz w:val="24"/>
          <w:szCs w:val="24"/>
          <w:lang w:val="ky-KG"/>
        </w:rPr>
        <w:t>үү</w:t>
      </w:r>
      <w:r>
        <w:rPr>
          <w:sz w:val="24"/>
          <w:szCs w:val="24"/>
          <w:lang w:val="ky-KG"/>
        </w:rPr>
        <w:t>с</w:t>
      </w:r>
      <w:r w:rsidRPr="000241E5">
        <w:rPr>
          <w:sz w:val="24"/>
          <w:szCs w:val="24"/>
          <w:lang w:val="ky-KG"/>
        </w:rPr>
        <w:t>ү, дүң кирешенин өсүү темпи</w:t>
      </w:r>
      <w:r>
        <w:rPr>
          <w:sz w:val="24"/>
          <w:szCs w:val="24"/>
          <w:lang w:val="ky-KG"/>
        </w:rPr>
        <w:t>нин көбөй</w:t>
      </w:r>
      <w:r w:rsidRPr="000241E5">
        <w:rPr>
          <w:sz w:val="24"/>
          <w:szCs w:val="24"/>
          <w:lang w:val="ky-KG"/>
        </w:rPr>
        <w:t>ү</w:t>
      </w:r>
      <w:r>
        <w:rPr>
          <w:sz w:val="24"/>
          <w:szCs w:val="24"/>
          <w:lang w:val="ky-KG"/>
        </w:rPr>
        <w:t>с</w:t>
      </w:r>
      <w:r w:rsidRPr="000241E5">
        <w:rPr>
          <w:sz w:val="24"/>
          <w:szCs w:val="24"/>
          <w:lang w:val="ky-KG"/>
        </w:rPr>
        <w:t>ү, операциял</w:t>
      </w:r>
      <w:r>
        <w:rPr>
          <w:sz w:val="24"/>
          <w:szCs w:val="24"/>
          <w:lang w:val="ky-KG"/>
        </w:rPr>
        <w:t>ык эмес ишмердикти</w:t>
      </w:r>
      <w:r w:rsidRPr="000241E5">
        <w:rPr>
          <w:sz w:val="24"/>
          <w:szCs w:val="24"/>
          <w:lang w:val="ky-KG"/>
        </w:rPr>
        <w:t>н чыгымдар</w:t>
      </w:r>
      <w:r>
        <w:rPr>
          <w:sz w:val="24"/>
          <w:szCs w:val="24"/>
          <w:lang w:val="ky-KG"/>
        </w:rPr>
        <w:t>ынын төмөндөш</w:t>
      </w:r>
      <w:r w:rsidRPr="000241E5">
        <w:rPr>
          <w:sz w:val="24"/>
          <w:szCs w:val="24"/>
          <w:lang w:val="ky-KG"/>
        </w:rPr>
        <w:t>ү, ишканалардын</w:t>
      </w:r>
      <w:r w:rsidRPr="009539E0">
        <w:rPr>
          <w:sz w:val="24"/>
          <w:szCs w:val="24"/>
          <w:lang w:val="ky-KG"/>
        </w:rPr>
        <w:t xml:space="preserve"> материалдык базаны бекемдөө</w:t>
      </w:r>
      <w:r>
        <w:rPr>
          <w:sz w:val="24"/>
          <w:szCs w:val="24"/>
          <w:lang w:val="ky-KG"/>
        </w:rPr>
        <w:t>с</w:t>
      </w:r>
      <w:r w:rsidRPr="000241E5">
        <w:rPr>
          <w:sz w:val="24"/>
          <w:szCs w:val="24"/>
          <w:lang w:val="ky-KG"/>
        </w:rPr>
        <w:t>ү</w:t>
      </w:r>
      <w:r>
        <w:rPr>
          <w:sz w:val="24"/>
          <w:szCs w:val="24"/>
          <w:lang w:val="ky-KG"/>
        </w:rPr>
        <w:t xml:space="preserve"> байкалган.</w:t>
      </w:r>
      <w:r w:rsidRPr="000241E5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 xml:space="preserve">Акыркы беш жылда 2021-жылдын жыйынтыктары боюнча </w:t>
      </w:r>
      <w:r w:rsidRPr="003D435F">
        <w:rPr>
          <w:sz w:val="24"/>
          <w:szCs w:val="24"/>
          <w:lang w:val="ky-KG"/>
        </w:rPr>
        <w:t>рентаб</w:t>
      </w:r>
      <w:r>
        <w:rPr>
          <w:sz w:val="24"/>
          <w:szCs w:val="24"/>
          <w:lang w:val="ky-KG"/>
        </w:rPr>
        <w:t>елдүүлүктүн эң жогорку деңгээли</w:t>
      </w:r>
      <w:r w:rsidRPr="003D435F">
        <w:rPr>
          <w:sz w:val="24"/>
          <w:szCs w:val="24"/>
          <w:lang w:val="ky-KG"/>
        </w:rPr>
        <w:t xml:space="preserve"> камсыз</w:t>
      </w:r>
      <w:r>
        <w:rPr>
          <w:sz w:val="24"/>
          <w:szCs w:val="24"/>
          <w:lang w:val="ky-KG"/>
        </w:rPr>
        <w:t>далган</w:t>
      </w:r>
      <w:r w:rsidRPr="003D435F">
        <w:rPr>
          <w:sz w:val="24"/>
          <w:szCs w:val="24"/>
          <w:lang w:val="ky-KG"/>
        </w:rPr>
        <w:t xml:space="preserve"> жана сальдолоштурулган пайданын эң чоң көлөмү</w:t>
      </w:r>
      <w:r>
        <w:rPr>
          <w:sz w:val="24"/>
          <w:szCs w:val="24"/>
          <w:lang w:val="ky-KG"/>
        </w:rPr>
        <w:t xml:space="preserve"> алынган</w:t>
      </w:r>
      <w:r w:rsidRPr="003D435F">
        <w:rPr>
          <w:sz w:val="24"/>
          <w:szCs w:val="24"/>
          <w:lang w:val="ky-KG"/>
        </w:rPr>
        <w:t>.</w:t>
      </w:r>
      <w:r>
        <w:rPr>
          <w:sz w:val="24"/>
          <w:szCs w:val="24"/>
          <w:lang w:val="ky-KG"/>
        </w:rPr>
        <w:t xml:space="preserve"> </w:t>
      </w:r>
      <w:r w:rsidRPr="00466692">
        <w:rPr>
          <w:sz w:val="24"/>
          <w:szCs w:val="24"/>
          <w:lang w:val="ky-KG"/>
        </w:rPr>
        <w:t>Муну менен катар, өз ара төлөмдөрдүн өсүү тенденциясы, банктардын кредиттери жана зайымдар боюнча ишканалардын карыз</w:t>
      </w:r>
      <w:r>
        <w:rPr>
          <w:sz w:val="24"/>
          <w:szCs w:val="24"/>
          <w:lang w:val="ky-KG"/>
        </w:rPr>
        <w:t>дарынын көбөйүшү сакталып калууда</w:t>
      </w:r>
      <w:r w:rsidRPr="00466692">
        <w:rPr>
          <w:sz w:val="24"/>
          <w:szCs w:val="24"/>
          <w:lang w:val="ky-KG"/>
        </w:rPr>
        <w:t>.</w:t>
      </w:r>
    </w:p>
    <w:p w:rsidR="006F33B3" w:rsidRPr="009539E0" w:rsidRDefault="006F33B3" w:rsidP="00D34CBE">
      <w:pPr>
        <w:spacing w:before="120"/>
        <w:ind w:firstLine="709"/>
        <w:jc w:val="both"/>
        <w:rPr>
          <w:sz w:val="24"/>
          <w:szCs w:val="24"/>
          <w:lang w:val="ky-KG"/>
        </w:rPr>
      </w:pPr>
      <w:r w:rsidRPr="00466692">
        <w:rPr>
          <w:sz w:val="24"/>
          <w:szCs w:val="24"/>
          <w:lang w:val="ky-KG"/>
        </w:rPr>
        <w:t>Республиканын экономикасында кызмат көрсөтүү чөйрөсүндөгү ишканалардын ишинин акырындык менен калыбына келиши байкалган, бул алардын оң динамикасын көрсөткөн финансылык көрсөткүчтөрү менен тастыкталат.</w:t>
      </w:r>
      <w:r>
        <w:rPr>
          <w:sz w:val="24"/>
          <w:szCs w:val="24"/>
          <w:lang w:val="ky-KG"/>
        </w:rPr>
        <w:t xml:space="preserve"> С</w:t>
      </w:r>
      <w:r w:rsidRPr="009539E0">
        <w:rPr>
          <w:sz w:val="24"/>
          <w:szCs w:val="24"/>
          <w:lang w:val="ky-KG"/>
        </w:rPr>
        <w:t>оода ишканалар</w:t>
      </w:r>
      <w:r>
        <w:rPr>
          <w:sz w:val="24"/>
          <w:szCs w:val="24"/>
          <w:lang w:val="ky-KG"/>
        </w:rPr>
        <w:t>ы</w:t>
      </w:r>
      <w:r w:rsidRPr="009539E0">
        <w:rPr>
          <w:sz w:val="24"/>
          <w:szCs w:val="24"/>
          <w:lang w:val="ky-KG"/>
        </w:rPr>
        <w:t xml:space="preserve">, </w:t>
      </w:r>
      <w:r>
        <w:rPr>
          <w:sz w:val="24"/>
          <w:szCs w:val="24"/>
          <w:lang w:val="ky-KG"/>
        </w:rPr>
        <w:t>байланыш,</w:t>
      </w:r>
      <w:r w:rsidRPr="000241F0">
        <w:rPr>
          <w:sz w:val="24"/>
          <w:szCs w:val="24"/>
          <w:lang w:val="ky-KG"/>
        </w:rPr>
        <w:t xml:space="preserve"> </w:t>
      </w:r>
      <w:r w:rsidRPr="009539E0">
        <w:rPr>
          <w:sz w:val="24"/>
          <w:szCs w:val="24"/>
          <w:lang w:val="ky-KG"/>
        </w:rPr>
        <w:t>транспорт ишмердиги жана жүктөрдү сактоо</w:t>
      </w:r>
      <w:r>
        <w:rPr>
          <w:sz w:val="24"/>
          <w:szCs w:val="24"/>
          <w:lang w:val="ky-KG"/>
        </w:rPr>
        <w:t xml:space="preserve"> ишканалары </w:t>
      </w:r>
      <w:r w:rsidRPr="009539E0">
        <w:rPr>
          <w:sz w:val="24"/>
          <w:szCs w:val="24"/>
          <w:lang w:val="ky-KG"/>
        </w:rPr>
        <w:t>дүң кирешенин көлөмү</w:t>
      </w:r>
      <w:r>
        <w:rPr>
          <w:sz w:val="24"/>
          <w:szCs w:val="24"/>
          <w:lang w:val="ky-KG"/>
        </w:rPr>
        <w:t>н</w:t>
      </w:r>
      <w:r w:rsidRPr="009539E0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к</w:t>
      </w:r>
      <w:r w:rsidRPr="009539E0">
        <w:rPr>
          <w:sz w:val="24"/>
          <w:szCs w:val="24"/>
          <w:lang w:val="ky-KG"/>
        </w:rPr>
        <w:t>ө</w:t>
      </w:r>
      <w:r>
        <w:rPr>
          <w:sz w:val="24"/>
          <w:szCs w:val="24"/>
          <w:lang w:val="ky-KG"/>
        </w:rPr>
        <w:t>б</w:t>
      </w:r>
      <w:r w:rsidRPr="009539E0">
        <w:rPr>
          <w:sz w:val="24"/>
          <w:szCs w:val="24"/>
          <w:lang w:val="ky-KG"/>
        </w:rPr>
        <w:t>ө</w:t>
      </w:r>
      <w:r>
        <w:rPr>
          <w:sz w:val="24"/>
          <w:szCs w:val="24"/>
          <w:lang w:val="ky-KG"/>
        </w:rPr>
        <w:t>йтт</w:t>
      </w:r>
      <w:r w:rsidRPr="009539E0">
        <w:rPr>
          <w:sz w:val="24"/>
          <w:szCs w:val="24"/>
          <w:lang w:val="ky-KG"/>
        </w:rPr>
        <w:t>ү</w:t>
      </w:r>
      <w:r>
        <w:rPr>
          <w:sz w:val="24"/>
          <w:szCs w:val="24"/>
          <w:lang w:val="ky-KG"/>
        </w:rPr>
        <w:t xml:space="preserve"> жана пайда алышты, анын суммасы мурунку жылдын деңгээлинен бир кыйла </w:t>
      </w:r>
      <w:r w:rsidRPr="00D44147">
        <w:rPr>
          <w:sz w:val="24"/>
          <w:szCs w:val="24"/>
          <w:lang w:val="ky-KG"/>
        </w:rPr>
        <w:t xml:space="preserve">(3 эседен ашык) </w:t>
      </w:r>
      <w:r>
        <w:rPr>
          <w:sz w:val="24"/>
          <w:szCs w:val="24"/>
          <w:lang w:val="ky-KG"/>
        </w:rPr>
        <w:t>ашты</w:t>
      </w:r>
      <w:r w:rsidRPr="00C74DB3">
        <w:rPr>
          <w:sz w:val="24"/>
          <w:szCs w:val="24"/>
          <w:lang w:val="ky-KG"/>
        </w:rPr>
        <w:t>. Мейманкана</w:t>
      </w:r>
      <w:r w:rsidRPr="009539E0">
        <w:rPr>
          <w:sz w:val="24"/>
          <w:szCs w:val="24"/>
          <w:lang w:val="ky-KG"/>
        </w:rPr>
        <w:t xml:space="preserve"> жана ресторан кызматтарды көрсөтүү</w:t>
      </w:r>
      <w:r>
        <w:rPr>
          <w:sz w:val="24"/>
          <w:szCs w:val="24"/>
          <w:lang w:val="ky-KG"/>
        </w:rPr>
        <w:t>л</w:t>
      </w:r>
      <w:r w:rsidRPr="009539E0">
        <w:rPr>
          <w:sz w:val="24"/>
          <w:szCs w:val="24"/>
          <w:lang w:val="ky-KG"/>
        </w:rPr>
        <w:t>ө</w:t>
      </w:r>
      <w:r>
        <w:rPr>
          <w:sz w:val="24"/>
          <w:szCs w:val="24"/>
          <w:lang w:val="ky-KG"/>
        </w:rPr>
        <w:t>р</w:t>
      </w:r>
      <w:r w:rsidRPr="009539E0">
        <w:rPr>
          <w:sz w:val="24"/>
          <w:szCs w:val="24"/>
          <w:lang w:val="ky-KG"/>
        </w:rPr>
        <w:t>ү</w:t>
      </w:r>
      <w:r>
        <w:rPr>
          <w:sz w:val="24"/>
          <w:szCs w:val="24"/>
          <w:lang w:val="ky-KG"/>
        </w:rPr>
        <w:t>нд</w:t>
      </w:r>
      <w:r w:rsidRPr="009539E0">
        <w:rPr>
          <w:sz w:val="24"/>
          <w:szCs w:val="24"/>
          <w:lang w:val="ky-KG"/>
        </w:rPr>
        <w:t>ө</w:t>
      </w:r>
      <w:r>
        <w:rPr>
          <w:sz w:val="24"/>
          <w:szCs w:val="24"/>
          <w:lang w:val="ky-KG"/>
        </w:rPr>
        <w:t xml:space="preserve"> дагы жакшыруусу байкалды, алардын кирешелеринин (дүң кирешесинин)</w:t>
      </w:r>
      <w:r w:rsidRPr="00C74DB3">
        <w:rPr>
          <w:sz w:val="24"/>
          <w:szCs w:val="24"/>
          <w:lang w:val="ky-KG"/>
        </w:rPr>
        <w:t xml:space="preserve"> </w:t>
      </w:r>
      <w:r w:rsidRPr="009539E0">
        <w:rPr>
          <w:sz w:val="24"/>
          <w:szCs w:val="24"/>
          <w:lang w:val="ky-KG"/>
        </w:rPr>
        <w:t>көлөмү</w:t>
      </w:r>
      <w:r>
        <w:rPr>
          <w:sz w:val="24"/>
          <w:szCs w:val="24"/>
          <w:lang w:val="ky-KG"/>
        </w:rPr>
        <w:t xml:space="preserve"> 2020-жылга салыштырмалуу 3,7 эсеге  </w:t>
      </w:r>
      <w:r w:rsidRPr="009539E0">
        <w:rPr>
          <w:sz w:val="24"/>
          <w:szCs w:val="24"/>
          <w:lang w:val="ky-KG"/>
        </w:rPr>
        <w:t>ө</w:t>
      </w:r>
      <w:r>
        <w:rPr>
          <w:sz w:val="24"/>
          <w:szCs w:val="24"/>
          <w:lang w:val="ky-KG"/>
        </w:rPr>
        <w:t xml:space="preserve">стү. Мында алар тарабынан алынган чыгымдарга карабастан алардын </w:t>
      </w:r>
      <w:r w:rsidRPr="009539E0">
        <w:rPr>
          <w:sz w:val="24"/>
          <w:szCs w:val="24"/>
          <w:lang w:val="ky-KG"/>
        </w:rPr>
        <w:t>көлөмү</w:t>
      </w:r>
      <w:r>
        <w:rPr>
          <w:sz w:val="24"/>
          <w:szCs w:val="24"/>
          <w:lang w:val="ky-KG"/>
        </w:rPr>
        <w:t xml:space="preserve"> ушул эле мезгилде 2,4 эсеге кыскарды. Ошондой эле </w:t>
      </w:r>
      <w:r w:rsidR="00F6543D">
        <w:rPr>
          <w:sz w:val="24"/>
          <w:szCs w:val="24"/>
          <w:lang w:val="ky-KG"/>
        </w:rPr>
        <w:t>к</w:t>
      </w:r>
      <w:r w:rsidR="00F6543D" w:rsidRPr="009539E0">
        <w:rPr>
          <w:sz w:val="24"/>
          <w:szCs w:val="24"/>
          <w:lang w:val="ky-KG"/>
        </w:rPr>
        <w:t>ө</w:t>
      </w:r>
      <w:r w:rsidR="00F6543D">
        <w:rPr>
          <w:sz w:val="24"/>
          <w:szCs w:val="24"/>
          <w:lang w:val="ky-KG"/>
        </w:rPr>
        <w:t>рс</w:t>
      </w:r>
      <w:r w:rsidR="00F6543D" w:rsidRPr="009539E0">
        <w:rPr>
          <w:sz w:val="24"/>
          <w:szCs w:val="24"/>
          <w:lang w:val="ky-KG"/>
        </w:rPr>
        <w:t>ө</w:t>
      </w:r>
      <w:r w:rsidR="00F6543D">
        <w:rPr>
          <w:sz w:val="24"/>
          <w:szCs w:val="24"/>
          <w:lang w:val="ky-KG"/>
        </w:rPr>
        <w:t>тк</w:t>
      </w:r>
      <w:r w:rsidR="00F6543D" w:rsidRPr="009539E0">
        <w:rPr>
          <w:sz w:val="24"/>
          <w:szCs w:val="24"/>
          <w:lang w:val="ky-KG"/>
        </w:rPr>
        <w:t>ү</w:t>
      </w:r>
      <w:r w:rsidR="00F6543D">
        <w:rPr>
          <w:sz w:val="24"/>
          <w:szCs w:val="24"/>
          <w:lang w:val="ky-KG"/>
        </w:rPr>
        <w:t>чт</w:t>
      </w:r>
      <w:r w:rsidR="00F6543D" w:rsidRPr="009539E0">
        <w:rPr>
          <w:sz w:val="24"/>
          <w:szCs w:val="24"/>
          <w:lang w:val="ky-KG"/>
        </w:rPr>
        <w:t>ө</w:t>
      </w:r>
      <w:r w:rsidR="00F6543D">
        <w:rPr>
          <w:sz w:val="24"/>
          <w:szCs w:val="24"/>
          <w:lang w:val="ky-KG"/>
        </w:rPr>
        <w:t>р</w:t>
      </w:r>
      <w:r w:rsidR="00F6543D" w:rsidRPr="009539E0">
        <w:rPr>
          <w:sz w:val="24"/>
          <w:szCs w:val="24"/>
          <w:lang w:val="ky-KG"/>
        </w:rPr>
        <w:t>ү</w:t>
      </w:r>
      <w:r w:rsidR="00F6543D">
        <w:rPr>
          <w:sz w:val="24"/>
          <w:szCs w:val="24"/>
          <w:lang w:val="ky-KG"/>
        </w:rPr>
        <w:t>н</w:t>
      </w:r>
      <w:r w:rsidR="00F6543D" w:rsidRPr="009539E0">
        <w:rPr>
          <w:sz w:val="24"/>
          <w:szCs w:val="24"/>
          <w:lang w:val="ky-KG"/>
        </w:rPr>
        <w:t>ү</w:t>
      </w:r>
      <w:r w:rsidR="00F6543D">
        <w:rPr>
          <w:sz w:val="24"/>
          <w:szCs w:val="24"/>
          <w:lang w:val="ky-KG"/>
        </w:rPr>
        <w:t xml:space="preserve">н жакшыруусу </w:t>
      </w:r>
      <w:r>
        <w:rPr>
          <w:sz w:val="24"/>
          <w:szCs w:val="24"/>
          <w:lang w:val="ky-KG"/>
        </w:rPr>
        <w:t>курулуш секторунда</w:t>
      </w:r>
      <w:r w:rsidRPr="00276816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 xml:space="preserve">байкалды, анда ишканалардын кирешелери 1,5 эсеге, ал эми </w:t>
      </w:r>
      <w:r w:rsidRPr="009539E0">
        <w:rPr>
          <w:sz w:val="24"/>
          <w:szCs w:val="24"/>
          <w:lang w:val="ky-KG"/>
        </w:rPr>
        <w:t>сальдолоштурулган</w:t>
      </w:r>
      <w:r>
        <w:rPr>
          <w:sz w:val="24"/>
          <w:szCs w:val="24"/>
          <w:lang w:val="ky-KG"/>
        </w:rPr>
        <w:t xml:space="preserve"> пайда - дээрлик 5 эсеге</w:t>
      </w:r>
      <w:r w:rsidRPr="009539E0">
        <w:rPr>
          <w:sz w:val="24"/>
          <w:szCs w:val="24"/>
          <w:lang w:val="ky-KG"/>
        </w:rPr>
        <w:t xml:space="preserve"> ө</w:t>
      </w:r>
      <w:r>
        <w:rPr>
          <w:sz w:val="24"/>
          <w:szCs w:val="24"/>
          <w:lang w:val="ky-KG"/>
        </w:rPr>
        <w:t>стү.</w:t>
      </w:r>
    </w:p>
    <w:p w:rsidR="006F33B3" w:rsidRDefault="006F33B3" w:rsidP="003B3D96">
      <w:pPr>
        <w:spacing w:before="120"/>
        <w:ind w:firstLine="709"/>
        <w:jc w:val="both"/>
        <w:rPr>
          <w:sz w:val="24"/>
          <w:szCs w:val="24"/>
          <w:lang w:val="ky-KG"/>
        </w:rPr>
      </w:pPr>
      <w:r w:rsidRPr="009539E0">
        <w:rPr>
          <w:sz w:val="24"/>
          <w:szCs w:val="24"/>
          <w:lang w:val="ky-KG"/>
        </w:rPr>
        <w:t>Экономика ишканаларынын продукциясын (товарларды, иштерди жана кызмат көрсөтүүлөрдү) сатуудан түшкөн кирешелердин (дүң кирешенин</w:t>
      </w:r>
      <w:r w:rsidRPr="009539E0">
        <w:rPr>
          <w:rFonts w:eastAsia="Calibri"/>
          <w:sz w:val="24"/>
          <w:szCs w:val="24"/>
          <w:vertAlign w:val="superscript"/>
          <w:lang w:val="ky-KG"/>
        </w:rPr>
        <w:footnoteReference w:id="1"/>
      </w:r>
      <w:r w:rsidRPr="009539E0">
        <w:rPr>
          <w:sz w:val="24"/>
          <w:szCs w:val="24"/>
          <w:lang w:val="ky-KG"/>
        </w:rPr>
        <w:t>) көлөмү 202</w:t>
      </w:r>
      <w:r>
        <w:rPr>
          <w:sz w:val="24"/>
          <w:szCs w:val="24"/>
          <w:lang w:val="ky-KG"/>
        </w:rPr>
        <w:t>1</w:t>
      </w:r>
      <w:r w:rsidRPr="009539E0">
        <w:rPr>
          <w:sz w:val="24"/>
          <w:szCs w:val="24"/>
          <w:lang w:val="ky-KG"/>
        </w:rPr>
        <w:t xml:space="preserve">-ж. </w:t>
      </w:r>
      <w:r>
        <w:rPr>
          <w:sz w:val="24"/>
          <w:szCs w:val="24"/>
          <w:lang w:val="ky-KG"/>
        </w:rPr>
        <w:t>696 476,4</w:t>
      </w:r>
      <w:r w:rsidRPr="009539E0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млн. сомду түздү. Н</w:t>
      </w:r>
      <w:r w:rsidRPr="009539E0">
        <w:rPr>
          <w:sz w:val="24"/>
          <w:szCs w:val="24"/>
          <w:lang w:val="ky-KG"/>
        </w:rPr>
        <w:t xml:space="preserve">егизги үлүшү </w:t>
      </w:r>
      <w:r>
        <w:rPr>
          <w:sz w:val="24"/>
          <w:szCs w:val="24"/>
          <w:lang w:val="ky-KG"/>
        </w:rPr>
        <w:t>-</w:t>
      </w:r>
      <w:r w:rsidRPr="009539E0">
        <w:rPr>
          <w:sz w:val="24"/>
          <w:szCs w:val="24"/>
          <w:lang w:val="ky-KG"/>
        </w:rPr>
        <w:t xml:space="preserve"> 90,</w:t>
      </w:r>
      <w:r>
        <w:rPr>
          <w:sz w:val="24"/>
          <w:szCs w:val="24"/>
          <w:lang w:val="ky-KG"/>
        </w:rPr>
        <w:t>8 пайызы же 632 638,4 млн. сому</w:t>
      </w:r>
      <w:r w:rsidRPr="009539E0">
        <w:rPr>
          <w:sz w:val="24"/>
          <w:szCs w:val="24"/>
          <w:lang w:val="ky-KG"/>
        </w:rPr>
        <w:t xml:space="preserve"> экономиканын реалдуу сектордун ишканалары</w:t>
      </w:r>
      <w:r>
        <w:rPr>
          <w:sz w:val="24"/>
          <w:szCs w:val="24"/>
          <w:lang w:val="ky-KG"/>
        </w:rPr>
        <w:t xml:space="preserve">на туура келди, ал эми </w:t>
      </w:r>
      <w:r w:rsidRPr="009539E0">
        <w:rPr>
          <w:sz w:val="24"/>
          <w:szCs w:val="24"/>
          <w:lang w:val="ky-KG"/>
        </w:rPr>
        <w:t xml:space="preserve">кирешенин </w:t>
      </w:r>
      <w:r>
        <w:rPr>
          <w:sz w:val="24"/>
          <w:szCs w:val="24"/>
          <w:lang w:val="ky-KG"/>
        </w:rPr>
        <w:t>жалпы көлөм</w:t>
      </w:r>
      <w:r w:rsidRPr="009539E0">
        <w:rPr>
          <w:sz w:val="24"/>
          <w:szCs w:val="24"/>
          <w:lang w:val="ky-KG"/>
        </w:rPr>
        <w:t>үнүн 9,</w:t>
      </w:r>
      <w:r>
        <w:rPr>
          <w:sz w:val="24"/>
          <w:szCs w:val="24"/>
          <w:lang w:val="ky-KG"/>
        </w:rPr>
        <w:t>2</w:t>
      </w:r>
      <w:r w:rsidRPr="009539E0">
        <w:rPr>
          <w:sz w:val="24"/>
          <w:szCs w:val="24"/>
          <w:lang w:val="ky-KG"/>
        </w:rPr>
        <w:t xml:space="preserve"> пайызы</w:t>
      </w:r>
      <w:r>
        <w:rPr>
          <w:sz w:val="24"/>
          <w:szCs w:val="24"/>
          <w:lang w:val="ky-KG"/>
        </w:rPr>
        <w:t>н (63 838,0 млн. сомун)</w:t>
      </w:r>
      <w:r w:rsidRPr="009539E0">
        <w:rPr>
          <w:sz w:val="24"/>
          <w:szCs w:val="24"/>
          <w:lang w:val="ky-KG"/>
        </w:rPr>
        <w:t xml:space="preserve"> финанс</w:t>
      </w:r>
      <w:r>
        <w:rPr>
          <w:sz w:val="24"/>
          <w:szCs w:val="24"/>
          <w:lang w:val="ky-KG"/>
        </w:rPr>
        <w:t xml:space="preserve">ылык сектордун уюдары </w:t>
      </w:r>
      <w:r w:rsidRPr="009539E0">
        <w:rPr>
          <w:sz w:val="24"/>
          <w:szCs w:val="24"/>
          <w:lang w:val="ky-KG"/>
        </w:rPr>
        <w:t>түз</w:t>
      </w:r>
      <w:r>
        <w:rPr>
          <w:sz w:val="24"/>
          <w:szCs w:val="24"/>
          <w:lang w:val="ky-KG"/>
        </w:rPr>
        <w:t>дү.</w:t>
      </w:r>
    </w:p>
    <w:p w:rsidR="003B3D96" w:rsidRDefault="003B3D96" w:rsidP="003B3D96">
      <w:pPr>
        <w:spacing w:before="120"/>
        <w:rPr>
          <w:b/>
          <w:bCs/>
          <w:sz w:val="24"/>
          <w:szCs w:val="24"/>
        </w:rPr>
      </w:pPr>
      <w:r w:rsidRPr="003B3D96">
        <w:rPr>
          <w:b/>
          <w:bCs/>
          <w:sz w:val="24"/>
          <w:szCs w:val="24"/>
        </w:rPr>
        <w:t>Экономика ишканаларынын финансылык көрсөткүчтөрү</w:t>
      </w:r>
    </w:p>
    <w:p w:rsidR="003B3D96" w:rsidRPr="00C00DC4" w:rsidRDefault="003B3D96" w:rsidP="003B3D96">
      <w:pPr>
        <w:spacing w:before="60" w:after="60"/>
        <w:rPr>
          <w:i/>
          <w:iCs/>
          <w:sz w:val="18"/>
          <w:szCs w:val="18"/>
        </w:rPr>
      </w:pPr>
      <w:r>
        <w:rPr>
          <w:b/>
          <w:bCs/>
          <w:sz w:val="24"/>
          <w:szCs w:val="24"/>
        </w:rPr>
        <w:t xml:space="preserve">    </w:t>
      </w:r>
      <w:r w:rsidRPr="00C00DC4">
        <w:rPr>
          <w:i/>
          <w:iCs/>
          <w:sz w:val="18"/>
          <w:szCs w:val="18"/>
        </w:rPr>
        <w:t xml:space="preserve">     (млн. сомов)</w:t>
      </w:r>
    </w:p>
    <w:tbl>
      <w:tblPr>
        <w:tblW w:w="92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026"/>
        <w:gridCol w:w="1675"/>
        <w:gridCol w:w="1536"/>
      </w:tblGrid>
      <w:tr w:rsidR="003B3D96" w:rsidRPr="00C00DC4" w:rsidTr="003B3D96">
        <w:trPr>
          <w:cantSplit/>
          <w:trHeight w:val="277"/>
          <w:tblHeader/>
        </w:trPr>
        <w:tc>
          <w:tcPr>
            <w:tcW w:w="60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3D96" w:rsidRPr="00C00DC4" w:rsidRDefault="003B3D96" w:rsidP="004F3FDA">
            <w:pPr>
              <w:spacing w:before="40" w:after="2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B3D96" w:rsidRPr="00C00DC4" w:rsidRDefault="003B3D96" w:rsidP="004F3FDA">
            <w:pPr>
              <w:spacing w:before="40" w:after="20"/>
              <w:jc w:val="right"/>
              <w:rPr>
                <w:b/>
                <w:bCs/>
                <w:sz w:val="18"/>
                <w:szCs w:val="18"/>
              </w:rPr>
            </w:pPr>
            <w:r w:rsidRPr="00C00DC4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B3D96" w:rsidRPr="00C00DC4" w:rsidRDefault="003B3D96" w:rsidP="004F3FDA">
            <w:pPr>
              <w:spacing w:before="40" w:after="20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00DC4"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3B3D96" w:rsidRPr="00D71228" w:rsidTr="00A962FE">
        <w:trPr>
          <w:trHeight w:val="284"/>
        </w:trPr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96" w:rsidRDefault="003B3D96" w:rsidP="003B3D96">
            <w:r w:rsidRPr="003B3D96">
              <w:t>Продукцияларды (иштерди, кызмат көрсөтүүлөрдү)</w:t>
            </w:r>
            <w:r>
              <w:t xml:space="preserve"> </w:t>
            </w:r>
            <w:r w:rsidRPr="003B3D96">
              <w:t xml:space="preserve">сатуудан </w:t>
            </w:r>
          </w:p>
          <w:p w:rsidR="003B3D96" w:rsidRPr="003B3D96" w:rsidRDefault="003B3D96" w:rsidP="003B3D96">
            <w:r>
              <w:t xml:space="preserve">  </w:t>
            </w:r>
            <w:r w:rsidRPr="003B3D96">
              <w:t>түшкөн акча (дүң киреше)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D96" w:rsidRPr="00C00DC4" w:rsidRDefault="003B3D96" w:rsidP="003B3D96">
            <w:pPr>
              <w:jc w:val="right"/>
            </w:pPr>
            <w:r w:rsidRPr="00C00DC4">
              <w:t>547 653,1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D96" w:rsidRPr="00C00DC4" w:rsidRDefault="003B3D96" w:rsidP="003B3D96">
            <w:pPr>
              <w:jc w:val="right"/>
            </w:pPr>
            <w:r w:rsidRPr="00C00DC4">
              <w:t>696 476,4</w:t>
            </w:r>
          </w:p>
        </w:tc>
      </w:tr>
      <w:tr w:rsidR="003B3D96" w:rsidRPr="00D71228" w:rsidTr="004F3FDA">
        <w:trPr>
          <w:trHeight w:val="284"/>
        </w:trPr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96" w:rsidRPr="003B3D96" w:rsidRDefault="003B3D96" w:rsidP="003B3D96">
            <w:r w:rsidRPr="003B3D96">
              <w:t>Операциялык эмес кирешелер жана чыгымдар (-)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D96" w:rsidRPr="00C00DC4" w:rsidRDefault="003B3D96" w:rsidP="003B3D96">
            <w:pPr>
              <w:jc w:val="right"/>
            </w:pPr>
            <w:r w:rsidRPr="00C00DC4">
              <w:t>-60 289,8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D96" w:rsidRPr="00C00DC4" w:rsidRDefault="003B3D96" w:rsidP="003B3D96">
            <w:pPr>
              <w:jc w:val="right"/>
            </w:pPr>
            <w:r w:rsidRPr="00C00DC4">
              <w:t>-18 332,8</w:t>
            </w:r>
          </w:p>
        </w:tc>
      </w:tr>
      <w:tr w:rsidR="003B3D96" w:rsidRPr="00D71228" w:rsidTr="004F3FDA">
        <w:trPr>
          <w:trHeight w:val="284"/>
        </w:trPr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D96" w:rsidRDefault="003B3D96" w:rsidP="003B3D96">
            <w:r w:rsidRPr="003B3D96">
              <w:t xml:space="preserve">Сальдолоштурулган финансылык жыйынтык </w:t>
            </w:r>
            <w:r>
              <w:t xml:space="preserve"> </w:t>
            </w:r>
          </w:p>
          <w:p w:rsidR="003B3D96" w:rsidRPr="003B3D96" w:rsidRDefault="003B3D96" w:rsidP="003B3D96">
            <w:r>
              <w:t xml:space="preserve">  </w:t>
            </w:r>
            <w:r w:rsidRPr="003B3D96">
              <w:t>(пайдадан чыгым кемитилет)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D96" w:rsidRPr="00C00DC4" w:rsidRDefault="003B3D96" w:rsidP="003B3D96">
            <w:pPr>
              <w:jc w:val="right"/>
            </w:pPr>
            <w:r w:rsidRPr="00C00DC4">
              <w:t>24 752,5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D96" w:rsidRPr="00C00DC4" w:rsidRDefault="003B3D96" w:rsidP="003B3D96">
            <w:pPr>
              <w:jc w:val="right"/>
            </w:pPr>
            <w:r w:rsidRPr="00C00DC4">
              <w:t>114 505,3</w:t>
            </w:r>
          </w:p>
        </w:tc>
      </w:tr>
      <w:tr w:rsidR="003B3D96" w:rsidRPr="00D71228" w:rsidTr="004F3FDA">
        <w:trPr>
          <w:trHeight w:val="284"/>
        </w:trPr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D96" w:rsidRPr="003B3D96" w:rsidRDefault="003B3D96" w:rsidP="003B3D96">
            <w:r w:rsidRPr="003B3D96">
              <w:rPr>
                <w:color w:val="000000"/>
              </w:rPr>
              <w:t>Рентабелдүү ишканаларынын пайдасы</w:t>
            </w:r>
            <w:r w:rsidRPr="003B3D96"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D96" w:rsidRPr="00C00DC4" w:rsidRDefault="003B3D96" w:rsidP="003B3D96">
            <w:pPr>
              <w:jc w:val="right"/>
            </w:pPr>
            <w:r w:rsidRPr="00C00DC4">
              <w:t>97 287,9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D96" w:rsidRPr="00C00DC4" w:rsidRDefault="003B3D96" w:rsidP="003B3D96">
            <w:pPr>
              <w:jc w:val="right"/>
            </w:pPr>
            <w:r w:rsidRPr="00C00DC4">
              <w:t>145 982,4</w:t>
            </w:r>
          </w:p>
        </w:tc>
      </w:tr>
      <w:tr w:rsidR="003B3D96" w:rsidRPr="00D71228" w:rsidTr="00A962FE">
        <w:trPr>
          <w:trHeight w:val="284"/>
        </w:trPr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96" w:rsidRPr="003B3D96" w:rsidRDefault="003B3D96" w:rsidP="003B3D96">
            <w:r w:rsidRPr="003B3D96">
              <w:rPr>
                <w:color w:val="000000"/>
              </w:rPr>
              <w:t>Рентабелдүү эмес ишканаларынын чыгашалары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D96" w:rsidRPr="00C00DC4" w:rsidRDefault="003B3D96" w:rsidP="003B3D96">
            <w:pPr>
              <w:jc w:val="right"/>
            </w:pPr>
            <w:r w:rsidRPr="00C00DC4">
              <w:t>72 535,4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D96" w:rsidRPr="00C00DC4" w:rsidRDefault="003B3D96" w:rsidP="003B3D96">
            <w:pPr>
              <w:jc w:val="right"/>
            </w:pPr>
            <w:r w:rsidRPr="00C00DC4">
              <w:t>31 477,1</w:t>
            </w:r>
          </w:p>
        </w:tc>
      </w:tr>
      <w:tr w:rsidR="003B3D96" w:rsidRPr="00D71228" w:rsidTr="004F3FDA">
        <w:trPr>
          <w:trHeight w:val="284"/>
        </w:trPr>
        <w:tc>
          <w:tcPr>
            <w:tcW w:w="6026" w:type="dxa"/>
            <w:tcBorders>
              <w:top w:val="nil"/>
              <w:left w:val="nil"/>
              <w:right w:val="nil"/>
            </w:tcBorders>
            <w:vAlign w:val="center"/>
          </w:tcPr>
          <w:p w:rsidR="003B3D96" w:rsidRDefault="003B3D96" w:rsidP="003B3D96">
            <w:r w:rsidRPr="003B3D96">
              <w:t>Продукцияларды (иштерди, кызмат көрсөтүүлөрдү) өндүрүүгө</w:t>
            </w:r>
          </w:p>
          <w:p w:rsidR="003B3D96" w:rsidRPr="003B3D96" w:rsidRDefault="003B3D96" w:rsidP="003B3D96">
            <w:r>
              <w:t xml:space="preserve"> </w:t>
            </w:r>
            <w:r w:rsidRPr="003B3D96">
              <w:t xml:space="preserve"> жана иштетүүгө кеткен чыгымдар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B3D96" w:rsidRPr="00C00DC4" w:rsidRDefault="003B3D96" w:rsidP="003B3D96">
            <w:pPr>
              <w:jc w:val="right"/>
            </w:pPr>
            <w:r w:rsidRPr="00C00DC4">
              <w:t>462 140,5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B3D96" w:rsidRPr="00C00DC4" w:rsidRDefault="003B3D96" w:rsidP="003B3D96">
            <w:pPr>
              <w:jc w:val="right"/>
            </w:pPr>
            <w:r w:rsidRPr="00C00DC4">
              <w:t>563 630,8</w:t>
            </w:r>
          </w:p>
        </w:tc>
      </w:tr>
      <w:tr w:rsidR="003B3D96" w:rsidRPr="00D71228" w:rsidTr="004F3FDA">
        <w:trPr>
          <w:trHeight w:val="284"/>
        </w:trPr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D96" w:rsidRPr="003B3D96" w:rsidRDefault="003B3D96" w:rsidP="004F3FDA">
            <w:pPr>
              <w:spacing w:after="40"/>
            </w:pPr>
            <w:r w:rsidRPr="003B3D96">
              <w:t>Негизги каражаттардын орточо жылдык наркы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B3D96" w:rsidRPr="00C00DC4" w:rsidRDefault="003B3D96" w:rsidP="004F3FDA">
            <w:pPr>
              <w:spacing w:after="40"/>
              <w:jc w:val="right"/>
            </w:pPr>
            <w:r w:rsidRPr="00C00DC4">
              <w:t>501 116,2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B3D96" w:rsidRPr="00C00DC4" w:rsidRDefault="003B3D96" w:rsidP="004F3FDA">
            <w:pPr>
              <w:spacing w:after="40"/>
              <w:jc w:val="right"/>
            </w:pPr>
            <w:r w:rsidRPr="00C00DC4">
              <w:t>540 859,6</w:t>
            </w:r>
          </w:p>
        </w:tc>
      </w:tr>
    </w:tbl>
    <w:p w:rsidR="006F33B3" w:rsidRPr="009539E0" w:rsidRDefault="006F33B3" w:rsidP="006F33B3">
      <w:pPr>
        <w:ind w:firstLine="709"/>
        <w:jc w:val="both"/>
        <w:rPr>
          <w:sz w:val="24"/>
          <w:szCs w:val="24"/>
          <w:lang w:val="ky-KG"/>
        </w:rPr>
      </w:pPr>
      <w:r w:rsidRPr="009539E0">
        <w:rPr>
          <w:sz w:val="24"/>
          <w:szCs w:val="24"/>
          <w:lang w:val="ky-KG"/>
        </w:rPr>
        <w:lastRenderedPageBreak/>
        <w:t xml:space="preserve">Өткөн жылы кирешенин </w:t>
      </w:r>
      <w:r>
        <w:rPr>
          <w:sz w:val="24"/>
          <w:szCs w:val="24"/>
          <w:lang w:val="ky-KG"/>
        </w:rPr>
        <w:t>жалпы</w:t>
      </w:r>
      <w:r w:rsidRPr="009539E0">
        <w:rPr>
          <w:sz w:val="24"/>
          <w:szCs w:val="24"/>
          <w:lang w:val="ky-KG"/>
        </w:rPr>
        <w:t xml:space="preserve"> көлөмү</w:t>
      </w:r>
      <w:r>
        <w:rPr>
          <w:sz w:val="24"/>
          <w:szCs w:val="24"/>
          <w:lang w:val="ky-KG"/>
        </w:rPr>
        <w:t>н</w:t>
      </w:r>
      <w:r w:rsidRPr="009539E0">
        <w:rPr>
          <w:sz w:val="24"/>
          <w:szCs w:val="24"/>
          <w:lang w:val="ky-KG"/>
        </w:rPr>
        <w:t>ү</w:t>
      </w:r>
      <w:r>
        <w:rPr>
          <w:sz w:val="24"/>
          <w:szCs w:val="24"/>
          <w:lang w:val="ky-KG"/>
        </w:rPr>
        <w:t>н жарымынан к</w:t>
      </w:r>
      <w:r w:rsidRPr="009539E0">
        <w:rPr>
          <w:sz w:val="24"/>
          <w:szCs w:val="24"/>
          <w:lang w:val="ky-KG"/>
        </w:rPr>
        <w:t>ө</w:t>
      </w:r>
      <w:r>
        <w:rPr>
          <w:sz w:val="24"/>
          <w:szCs w:val="24"/>
          <w:lang w:val="ky-KG"/>
        </w:rPr>
        <w:t>б</w:t>
      </w:r>
      <w:r w:rsidRPr="009539E0">
        <w:rPr>
          <w:sz w:val="24"/>
          <w:szCs w:val="24"/>
          <w:lang w:val="ky-KG"/>
        </w:rPr>
        <w:t>ү</w:t>
      </w:r>
      <w:r>
        <w:rPr>
          <w:sz w:val="24"/>
          <w:szCs w:val="24"/>
          <w:lang w:val="ky-KG"/>
        </w:rPr>
        <w:t xml:space="preserve"> (56,7 пайызы) өнөр жай секторунун ишканалары тарабынан алынды</w:t>
      </w:r>
      <w:r w:rsidRPr="009539E0">
        <w:rPr>
          <w:sz w:val="24"/>
          <w:szCs w:val="24"/>
          <w:lang w:val="ky-KG"/>
        </w:rPr>
        <w:t>,</w:t>
      </w:r>
      <w:r>
        <w:rPr>
          <w:sz w:val="24"/>
          <w:szCs w:val="24"/>
          <w:lang w:val="ky-KG"/>
        </w:rPr>
        <w:t xml:space="preserve"> мында алардын 30,4 пайызы </w:t>
      </w:r>
      <w:r w:rsidRPr="009539E0">
        <w:rPr>
          <w:sz w:val="24"/>
          <w:szCs w:val="24"/>
          <w:lang w:val="ky-KG"/>
        </w:rPr>
        <w:t xml:space="preserve">негизги металлдардын өндүрүү </w:t>
      </w:r>
      <w:r>
        <w:rPr>
          <w:sz w:val="24"/>
          <w:szCs w:val="24"/>
          <w:lang w:val="ky-KG"/>
        </w:rPr>
        <w:t>боюнча ишканаларына туура келди. Ф</w:t>
      </w:r>
      <w:r w:rsidRPr="009539E0">
        <w:rPr>
          <w:sz w:val="24"/>
          <w:szCs w:val="24"/>
          <w:lang w:val="ky-KG"/>
        </w:rPr>
        <w:t>инансылык ортомчулук жана камсыздандыруу</w:t>
      </w:r>
      <w:r>
        <w:rPr>
          <w:sz w:val="24"/>
          <w:szCs w:val="24"/>
          <w:lang w:val="ky-KG"/>
        </w:rPr>
        <w:t xml:space="preserve">, ошондой эле </w:t>
      </w:r>
      <w:r w:rsidRPr="009539E0">
        <w:rPr>
          <w:sz w:val="24"/>
          <w:szCs w:val="24"/>
          <w:lang w:val="ky-KG"/>
        </w:rPr>
        <w:t>дүң</w:t>
      </w:r>
      <w:r>
        <w:rPr>
          <w:sz w:val="24"/>
          <w:szCs w:val="24"/>
          <w:lang w:val="ky-KG"/>
        </w:rPr>
        <w:t xml:space="preserve"> жана чекене</w:t>
      </w:r>
      <w:r w:rsidRPr="009539E0">
        <w:rPr>
          <w:sz w:val="24"/>
          <w:szCs w:val="24"/>
          <w:lang w:val="ky-KG"/>
        </w:rPr>
        <w:t xml:space="preserve"> соода уюмдары </w:t>
      </w:r>
      <w:r>
        <w:rPr>
          <w:sz w:val="24"/>
          <w:szCs w:val="24"/>
          <w:lang w:val="ky-KG"/>
        </w:rPr>
        <w:t>тарабынан жалпы кирешенин</w:t>
      </w:r>
      <w:r w:rsidRPr="00993F5C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көлөм</w:t>
      </w:r>
      <w:r w:rsidRPr="009539E0">
        <w:rPr>
          <w:sz w:val="24"/>
          <w:szCs w:val="24"/>
          <w:lang w:val="ky-KG"/>
        </w:rPr>
        <w:t>үнүн</w:t>
      </w:r>
      <w:r>
        <w:rPr>
          <w:sz w:val="24"/>
          <w:szCs w:val="24"/>
          <w:lang w:val="ky-KG"/>
        </w:rPr>
        <w:t xml:space="preserve"> </w:t>
      </w:r>
      <w:r w:rsidRPr="009539E0">
        <w:rPr>
          <w:sz w:val="24"/>
          <w:szCs w:val="24"/>
          <w:lang w:val="ky-KG"/>
        </w:rPr>
        <w:t>9,</w:t>
      </w:r>
      <w:r>
        <w:rPr>
          <w:sz w:val="24"/>
          <w:szCs w:val="24"/>
          <w:lang w:val="ky-KG"/>
        </w:rPr>
        <w:t>4 пайыздан, курулуш</w:t>
      </w:r>
      <w:r w:rsidRPr="009539E0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- 7,9 пайызы</w:t>
      </w:r>
      <w:r w:rsidRPr="009539E0">
        <w:rPr>
          <w:sz w:val="24"/>
          <w:szCs w:val="24"/>
          <w:lang w:val="ky-KG"/>
        </w:rPr>
        <w:t>, транспорт ишмердиги жана жүктөрдү сактоо</w:t>
      </w:r>
      <w:r>
        <w:rPr>
          <w:sz w:val="24"/>
          <w:szCs w:val="24"/>
          <w:lang w:val="ky-KG"/>
        </w:rPr>
        <w:t xml:space="preserve"> - 4,8 пайызы, байланыш</w:t>
      </w:r>
      <w:r w:rsidRPr="008A0AFA">
        <w:rPr>
          <w:sz w:val="24"/>
          <w:szCs w:val="24"/>
          <w:lang w:val="ky-KG"/>
        </w:rPr>
        <w:t xml:space="preserve"> </w:t>
      </w:r>
      <w:r w:rsidRPr="009539E0">
        <w:rPr>
          <w:sz w:val="24"/>
          <w:szCs w:val="24"/>
          <w:lang w:val="ky-KG"/>
        </w:rPr>
        <w:t>ишканалары тарабынан</w:t>
      </w:r>
      <w:r>
        <w:rPr>
          <w:sz w:val="24"/>
          <w:szCs w:val="24"/>
          <w:lang w:val="ky-KG"/>
        </w:rPr>
        <w:t xml:space="preserve"> - 3,7 пайызы</w:t>
      </w:r>
      <w:r w:rsidRPr="009539E0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алынган.</w:t>
      </w:r>
    </w:p>
    <w:p w:rsidR="00F76638" w:rsidRDefault="006F33B3" w:rsidP="00F76638">
      <w:pPr>
        <w:spacing w:before="120"/>
        <w:ind w:firstLine="709"/>
        <w:jc w:val="both"/>
        <w:rPr>
          <w:sz w:val="24"/>
          <w:szCs w:val="24"/>
          <w:lang w:val="ky-KG"/>
        </w:rPr>
      </w:pPr>
      <w:r w:rsidRPr="009539E0">
        <w:rPr>
          <w:sz w:val="24"/>
          <w:szCs w:val="24"/>
          <w:lang w:val="ky-KG"/>
        </w:rPr>
        <w:t>202</w:t>
      </w:r>
      <w:r>
        <w:rPr>
          <w:sz w:val="24"/>
          <w:szCs w:val="24"/>
          <w:lang w:val="ky-KG"/>
        </w:rPr>
        <w:t>1</w:t>
      </w:r>
      <w:r w:rsidRPr="009539E0">
        <w:rPr>
          <w:sz w:val="24"/>
          <w:szCs w:val="24"/>
          <w:lang w:val="ky-KG"/>
        </w:rPr>
        <w:t>-жылдын жыйынтыктары боюнча экономика ишканалары тарабынан</w:t>
      </w:r>
      <w:r>
        <w:rPr>
          <w:sz w:val="24"/>
          <w:szCs w:val="24"/>
          <w:lang w:val="ky-KG"/>
        </w:rPr>
        <w:t xml:space="preserve"> о</w:t>
      </w:r>
      <w:r w:rsidRPr="009539E0">
        <w:rPr>
          <w:sz w:val="24"/>
          <w:szCs w:val="24"/>
          <w:lang w:val="ky-KG"/>
        </w:rPr>
        <w:t xml:space="preserve">ң сальдолоштурулган финансылык жыйынтык </w:t>
      </w:r>
      <w:r>
        <w:rPr>
          <w:sz w:val="24"/>
          <w:szCs w:val="24"/>
          <w:lang w:val="ky-KG"/>
        </w:rPr>
        <w:t>114 505,3</w:t>
      </w:r>
      <w:r w:rsidRPr="009539E0">
        <w:rPr>
          <w:sz w:val="24"/>
          <w:szCs w:val="24"/>
          <w:lang w:val="ky-KG"/>
        </w:rPr>
        <w:t xml:space="preserve"> млн. сом өлчөмүндө пайда алынды, бул мур</w:t>
      </w:r>
      <w:r>
        <w:rPr>
          <w:sz w:val="24"/>
          <w:szCs w:val="24"/>
          <w:lang w:val="ky-KG"/>
        </w:rPr>
        <w:t>унку жылдын пайдасынын көлөмүн</w:t>
      </w:r>
      <w:r w:rsidRPr="009539E0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4,6 эсеге ашты</w:t>
      </w:r>
      <w:r w:rsidRPr="009539E0">
        <w:rPr>
          <w:sz w:val="24"/>
          <w:szCs w:val="24"/>
          <w:lang w:val="ky-KG"/>
        </w:rPr>
        <w:t xml:space="preserve">. </w:t>
      </w:r>
      <w:r w:rsidR="00F76638">
        <w:rPr>
          <w:sz w:val="24"/>
          <w:szCs w:val="24"/>
          <w:lang w:val="ky-KG"/>
        </w:rPr>
        <w:t>Р</w:t>
      </w:r>
      <w:r w:rsidR="00F76638" w:rsidRPr="009539E0">
        <w:rPr>
          <w:sz w:val="24"/>
          <w:szCs w:val="24"/>
          <w:lang w:val="ky-KG"/>
        </w:rPr>
        <w:t xml:space="preserve">ентабелдүү ишканалардын салыштырмалуу салмагы </w:t>
      </w:r>
      <w:r w:rsidR="00F76638">
        <w:rPr>
          <w:sz w:val="24"/>
          <w:szCs w:val="24"/>
          <w:lang w:val="ky-KG"/>
        </w:rPr>
        <w:t>35,6</w:t>
      </w:r>
      <w:r w:rsidR="00F76638" w:rsidRPr="009539E0">
        <w:rPr>
          <w:sz w:val="24"/>
          <w:szCs w:val="24"/>
          <w:lang w:val="ky-KG"/>
        </w:rPr>
        <w:t xml:space="preserve"> пайыз деңгээлинде аныкталды, ал эми чыгашанын үлүшү иштеп жаткан ишканалардын жалпы санынын </w:t>
      </w:r>
      <w:r w:rsidR="00F76638">
        <w:rPr>
          <w:sz w:val="24"/>
          <w:szCs w:val="24"/>
          <w:lang w:val="ky-KG"/>
        </w:rPr>
        <w:t>19,1</w:t>
      </w:r>
      <w:r w:rsidR="00F76638" w:rsidRPr="009539E0">
        <w:rPr>
          <w:sz w:val="24"/>
          <w:szCs w:val="24"/>
          <w:lang w:val="ky-KG"/>
        </w:rPr>
        <w:t xml:space="preserve"> пайызын түздү.</w:t>
      </w:r>
    </w:p>
    <w:p w:rsidR="006F33B3" w:rsidRDefault="006F33B3" w:rsidP="006F33B3">
      <w:pPr>
        <w:ind w:firstLine="709"/>
        <w:jc w:val="both"/>
        <w:rPr>
          <w:sz w:val="24"/>
          <w:szCs w:val="24"/>
          <w:lang w:val="ky-KG"/>
        </w:rPr>
      </w:pPr>
      <w:r w:rsidRPr="009539E0">
        <w:rPr>
          <w:sz w:val="24"/>
          <w:szCs w:val="24"/>
          <w:lang w:val="ky-KG"/>
        </w:rPr>
        <w:t xml:space="preserve">Пайданын эң көп көлөмү жалпы суммасынын </w:t>
      </w:r>
      <w:r>
        <w:rPr>
          <w:sz w:val="24"/>
          <w:szCs w:val="24"/>
          <w:lang w:val="ky-KG"/>
        </w:rPr>
        <w:t>82</w:t>
      </w:r>
      <w:r w:rsidRPr="009539E0">
        <w:rPr>
          <w:sz w:val="24"/>
          <w:szCs w:val="24"/>
          <w:lang w:val="ky-KG"/>
        </w:rPr>
        <w:t xml:space="preserve"> пайызы же </w:t>
      </w:r>
      <w:r>
        <w:rPr>
          <w:sz w:val="24"/>
          <w:szCs w:val="24"/>
          <w:lang w:val="ky-KG"/>
        </w:rPr>
        <w:t>94 003,4</w:t>
      </w:r>
      <w:r w:rsidRPr="009539E0">
        <w:rPr>
          <w:sz w:val="24"/>
          <w:szCs w:val="24"/>
          <w:lang w:val="ky-KG"/>
        </w:rPr>
        <w:t xml:space="preserve"> млн. сому - финансылык </w:t>
      </w:r>
      <w:r>
        <w:rPr>
          <w:sz w:val="24"/>
          <w:szCs w:val="24"/>
          <w:lang w:val="ky-KG"/>
        </w:rPr>
        <w:t>эмес (</w:t>
      </w:r>
      <w:r w:rsidRPr="009539E0">
        <w:rPr>
          <w:sz w:val="24"/>
          <w:szCs w:val="24"/>
          <w:lang w:val="ky-KG"/>
        </w:rPr>
        <w:t>реалдуу</w:t>
      </w:r>
      <w:r>
        <w:rPr>
          <w:sz w:val="24"/>
          <w:szCs w:val="24"/>
          <w:lang w:val="ky-KG"/>
        </w:rPr>
        <w:t xml:space="preserve">) </w:t>
      </w:r>
      <w:r w:rsidRPr="009539E0">
        <w:rPr>
          <w:sz w:val="24"/>
          <w:szCs w:val="24"/>
          <w:lang w:val="ky-KG"/>
        </w:rPr>
        <w:t>сектордун уюмдары тарабынан алынды. Эконом</w:t>
      </w:r>
      <w:r>
        <w:rPr>
          <w:sz w:val="24"/>
          <w:szCs w:val="24"/>
          <w:lang w:val="ky-KG"/>
        </w:rPr>
        <w:t>иканын финансылык</w:t>
      </w:r>
      <w:r w:rsidRPr="009539E0">
        <w:rPr>
          <w:sz w:val="24"/>
          <w:szCs w:val="24"/>
          <w:lang w:val="ky-KG"/>
        </w:rPr>
        <w:t xml:space="preserve"> секторунун </w:t>
      </w:r>
      <w:r>
        <w:rPr>
          <w:sz w:val="24"/>
          <w:szCs w:val="24"/>
          <w:lang w:val="ky-KG"/>
        </w:rPr>
        <w:t xml:space="preserve">ишканаларынын </w:t>
      </w:r>
      <w:r w:rsidRPr="009539E0">
        <w:rPr>
          <w:sz w:val="24"/>
          <w:szCs w:val="24"/>
          <w:lang w:val="ky-KG"/>
        </w:rPr>
        <w:t xml:space="preserve">үлүшүнө жалпы пайданын көлөмүнүн </w:t>
      </w:r>
      <w:r>
        <w:rPr>
          <w:sz w:val="24"/>
          <w:szCs w:val="24"/>
          <w:lang w:val="ky-KG"/>
        </w:rPr>
        <w:t>18</w:t>
      </w:r>
      <w:r w:rsidRPr="009539E0">
        <w:rPr>
          <w:sz w:val="24"/>
          <w:szCs w:val="24"/>
          <w:lang w:val="ky-KG"/>
        </w:rPr>
        <w:t xml:space="preserve"> пайызы же </w:t>
      </w:r>
      <w:r>
        <w:rPr>
          <w:sz w:val="24"/>
          <w:szCs w:val="24"/>
          <w:lang w:val="ky-KG"/>
        </w:rPr>
        <w:t>20 501,9</w:t>
      </w:r>
      <w:r w:rsidRPr="009539E0">
        <w:rPr>
          <w:sz w:val="24"/>
          <w:szCs w:val="24"/>
          <w:lang w:val="ky-KG"/>
        </w:rPr>
        <w:t xml:space="preserve"> млн. сому туура келди.</w:t>
      </w:r>
    </w:p>
    <w:p w:rsidR="006F33B3" w:rsidRPr="00D34CBE" w:rsidRDefault="00414EBE" w:rsidP="006F33B3">
      <w:pPr>
        <w:spacing w:before="120"/>
        <w:jc w:val="both"/>
        <w:rPr>
          <w:b/>
          <w:sz w:val="24"/>
          <w:szCs w:val="24"/>
          <w:lang w:val="ky-KG"/>
        </w:rPr>
      </w:pPr>
      <w:r w:rsidRPr="006F1BAC">
        <w:rPr>
          <w:b/>
          <w:sz w:val="24"/>
          <w:szCs w:val="24"/>
          <w:lang w:val="ky-KG"/>
        </w:rPr>
        <w:t>Экономика ишканаларынын с</w:t>
      </w:r>
      <w:r w:rsidR="00D34CBE" w:rsidRPr="006F1BAC">
        <w:rPr>
          <w:b/>
          <w:sz w:val="24"/>
          <w:szCs w:val="24"/>
          <w:lang w:val="ky-KG"/>
        </w:rPr>
        <w:t>альдолоштурулган финансылык жыйынты</w:t>
      </w:r>
      <w:r w:rsidRPr="006F1BAC">
        <w:rPr>
          <w:b/>
          <w:sz w:val="24"/>
          <w:szCs w:val="24"/>
          <w:lang w:val="ky-KG"/>
        </w:rPr>
        <w:t>гы</w:t>
      </w:r>
      <w:r w:rsidR="00D34CBE" w:rsidRPr="00D34CBE">
        <w:rPr>
          <w:b/>
          <w:sz w:val="24"/>
          <w:szCs w:val="24"/>
          <w:lang w:val="ky-KG"/>
        </w:rPr>
        <w:t xml:space="preserve"> </w:t>
      </w:r>
    </w:p>
    <w:p w:rsidR="006F33B3" w:rsidRPr="009539E0" w:rsidRDefault="00D34CBE" w:rsidP="00D34CBE">
      <w:pPr>
        <w:spacing w:before="60" w:after="60"/>
        <w:jc w:val="both"/>
        <w:rPr>
          <w:i/>
          <w:sz w:val="18"/>
          <w:szCs w:val="18"/>
        </w:rPr>
      </w:pPr>
      <w:r>
        <w:rPr>
          <w:i/>
          <w:sz w:val="18"/>
          <w:szCs w:val="18"/>
          <w:lang w:val="ky-KG"/>
        </w:rPr>
        <w:t xml:space="preserve">      </w:t>
      </w:r>
      <w:r w:rsidR="003B3D96">
        <w:rPr>
          <w:i/>
          <w:sz w:val="18"/>
          <w:szCs w:val="18"/>
          <w:lang w:val="ky-KG"/>
        </w:rPr>
        <w:t xml:space="preserve">   </w:t>
      </w:r>
      <w:r>
        <w:rPr>
          <w:i/>
          <w:sz w:val="18"/>
          <w:szCs w:val="18"/>
          <w:lang w:val="ky-KG"/>
        </w:rPr>
        <w:t xml:space="preserve">   </w:t>
      </w:r>
      <w:r w:rsidR="006F33B3" w:rsidRPr="009539E0">
        <w:rPr>
          <w:i/>
          <w:sz w:val="18"/>
          <w:szCs w:val="18"/>
        </w:rPr>
        <w:t>(</w:t>
      </w:r>
      <w:r w:rsidR="006F33B3" w:rsidRPr="009539E0">
        <w:rPr>
          <w:i/>
          <w:sz w:val="18"/>
          <w:szCs w:val="18"/>
          <w:lang w:val="ky-KG"/>
        </w:rPr>
        <w:t>млн. сом</w:t>
      </w:r>
      <w:r w:rsidR="006F33B3" w:rsidRPr="009539E0">
        <w:rPr>
          <w:i/>
          <w:sz w:val="18"/>
          <w:szCs w:val="18"/>
        </w:rPr>
        <w:t>)</w:t>
      </w:r>
    </w:p>
    <w:p w:rsidR="006F33B3" w:rsidRPr="009539E0" w:rsidRDefault="00D34CBE" w:rsidP="006F33B3">
      <w:pPr>
        <w:spacing w:before="120"/>
        <w:jc w:val="both"/>
        <w:rPr>
          <w:rFonts w:ascii="Kyrghyz Times" w:hAnsi="Kyrghyz Times"/>
        </w:rPr>
      </w:pPr>
      <w:r>
        <w:rPr>
          <w:rFonts w:ascii="Kyrghyz Times" w:hAnsi="Kyrghyz Times"/>
          <w:noProof/>
        </w:rPr>
        <w:drawing>
          <wp:inline distT="0" distB="0" distL="0" distR="0" wp14:anchorId="048BE8D5">
            <wp:extent cx="5657850" cy="3067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0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3B3" w:rsidRPr="009539E0" w:rsidRDefault="006F33B3" w:rsidP="006F33B3">
      <w:pPr>
        <w:ind w:firstLine="709"/>
        <w:jc w:val="both"/>
        <w:rPr>
          <w:sz w:val="24"/>
          <w:szCs w:val="24"/>
          <w:lang w:val="ky-KG"/>
        </w:rPr>
      </w:pPr>
      <w:r w:rsidRPr="009539E0">
        <w:rPr>
          <w:sz w:val="24"/>
          <w:szCs w:val="24"/>
          <w:lang w:val="ky-KG"/>
        </w:rPr>
        <w:t>202</w:t>
      </w:r>
      <w:r>
        <w:rPr>
          <w:sz w:val="24"/>
          <w:szCs w:val="24"/>
          <w:lang w:val="ky-KG"/>
        </w:rPr>
        <w:t>1</w:t>
      </w:r>
      <w:r w:rsidRPr="009539E0">
        <w:rPr>
          <w:sz w:val="24"/>
          <w:szCs w:val="24"/>
          <w:lang w:val="ky-KG"/>
        </w:rPr>
        <w:t>-жылы сальдолоштурулган пайданын нег</w:t>
      </w:r>
      <w:r>
        <w:rPr>
          <w:sz w:val="24"/>
          <w:szCs w:val="24"/>
          <w:lang w:val="ky-KG"/>
        </w:rPr>
        <w:t>изги көлөмү негизги металлдарды</w:t>
      </w:r>
      <w:r w:rsidRPr="009539E0">
        <w:rPr>
          <w:sz w:val="24"/>
          <w:szCs w:val="24"/>
          <w:lang w:val="ky-KG"/>
        </w:rPr>
        <w:t xml:space="preserve"> жана даяр металл буюмдарын өндүрүү ишканалары (</w:t>
      </w:r>
      <w:r>
        <w:rPr>
          <w:sz w:val="24"/>
          <w:szCs w:val="24"/>
          <w:lang w:val="ky-KG"/>
        </w:rPr>
        <w:t xml:space="preserve">38 044,4 млн. сом), </w:t>
      </w:r>
      <w:r w:rsidRPr="009539E0">
        <w:rPr>
          <w:sz w:val="24"/>
          <w:szCs w:val="24"/>
          <w:lang w:val="ky-KG"/>
        </w:rPr>
        <w:t xml:space="preserve">соода </w:t>
      </w:r>
      <w:r w:rsidR="00BE6696">
        <w:rPr>
          <w:sz w:val="24"/>
          <w:szCs w:val="24"/>
          <w:lang w:val="ky-KG"/>
        </w:rPr>
        <w:t xml:space="preserve">уюмдары </w:t>
      </w:r>
      <w:r w:rsidRPr="009539E0">
        <w:rPr>
          <w:sz w:val="24"/>
          <w:szCs w:val="24"/>
          <w:lang w:val="ky-KG"/>
        </w:rPr>
        <w:t>(</w:t>
      </w:r>
      <w:r>
        <w:rPr>
          <w:sz w:val="24"/>
          <w:szCs w:val="24"/>
          <w:lang w:val="ky-KG"/>
        </w:rPr>
        <w:t>23 036,8 млн.</w:t>
      </w:r>
      <w:r w:rsidRPr="009539E0">
        <w:rPr>
          <w:sz w:val="24"/>
          <w:szCs w:val="24"/>
          <w:lang w:val="ky-KG"/>
        </w:rPr>
        <w:t>)</w:t>
      </w:r>
      <w:r>
        <w:rPr>
          <w:sz w:val="24"/>
          <w:szCs w:val="24"/>
          <w:lang w:val="ky-KG"/>
        </w:rPr>
        <w:t xml:space="preserve">, </w:t>
      </w:r>
      <w:r w:rsidR="00BE6696" w:rsidRPr="00BE6696">
        <w:rPr>
          <w:sz w:val="24"/>
          <w:szCs w:val="24"/>
          <w:lang w:val="ky-KG"/>
        </w:rPr>
        <w:t>б</w:t>
      </w:r>
      <w:r w:rsidR="00BE6696">
        <w:rPr>
          <w:sz w:val="24"/>
          <w:szCs w:val="24"/>
          <w:lang w:val="ky-KG"/>
        </w:rPr>
        <w:t>анктар</w:t>
      </w:r>
      <w:r w:rsidR="00F76638">
        <w:rPr>
          <w:sz w:val="24"/>
          <w:szCs w:val="24"/>
          <w:lang w:val="ky-KG"/>
        </w:rPr>
        <w:t xml:space="preserve"> (16 995,9 млн.), </w:t>
      </w:r>
      <w:r w:rsidRPr="00526F0F">
        <w:rPr>
          <w:bCs/>
          <w:iCs/>
          <w:sz w:val="24"/>
          <w:szCs w:val="24"/>
          <w:lang w:val="ky-KG"/>
        </w:rPr>
        <w:t>транспорт ишмердиги жана жүктөрдү сактоо</w:t>
      </w:r>
      <w:r w:rsidRPr="00526F0F">
        <w:rPr>
          <w:sz w:val="24"/>
          <w:szCs w:val="24"/>
          <w:lang w:val="ky-KG"/>
        </w:rPr>
        <w:t xml:space="preserve"> (7 105,8 млн.) </w:t>
      </w:r>
      <w:r>
        <w:rPr>
          <w:sz w:val="24"/>
          <w:szCs w:val="24"/>
          <w:lang w:val="ky-KG"/>
        </w:rPr>
        <w:t xml:space="preserve">жана байланыш уюмдары (6 558,4 млн. сом) </w:t>
      </w:r>
      <w:r w:rsidRPr="009539E0">
        <w:rPr>
          <w:sz w:val="24"/>
          <w:szCs w:val="24"/>
          <w:lang w:val="ky-KG"/>
        </w:rPr>
        <w:t xml:space="preserve">тарабынан алынды. </w:t>
      </w:r>
    </w:p>
    <w:p w:rsidR="006F33B3" w:rsidRDefault="006F33B3" w:rsidP="006F33B3">
      <w:pPr>
        <w:spacing w:before="120"/>
        <w:ind w:firstLine="709"/>
        <w:jc w:val="both"/>
        <w:rPr>
          <w:sz w:val="24"/>
          <w:szCs w:val="24"/>
          <w:lang w:val="ky-KG"/>
        </w:rPr>
      </w:pPr>
      <w:r w:rsidRPr="009539E0">
        <w:rPr>
          <w:sz w:val="24"/>
          <w:szCs w:val="24"/>
          <w:lang w:val="ky-KG"/>
        </w:rPr>
        <w:t>202</w:t>
      </w:r>
      <w:r>
        <w:rPr>
          <w:sz w:val="24"/>
          <w:szCs w:val="24"/>
          <w:lang w:val="ky-KG"/>
        </w:rPr>
        <w:t>1</w:t>
      </w:r>
      <w:r w:rsidRPr="009539E0">
        <w:rPr>
          <w:sz w:val="24"/>
          <w:szCs w:val="24"/>
          <w:lang w:val="ky-KG"/>
        </w:rPr>
        <w:t xml:space="preserve">-ж. экономиканын ишканалары тарабынан </w:t>
      </w:r>
      <w:r>
        <w:rPr>
          <w:sz w:val="24"/>
          <w:szCs w:val="24"/>
          <w:lang w:val="ky-KG"/>
        </w:rPr>
        <w:t xml:space="preserve">алынган </w:t>
      </w:r>
      <w:r w:rsidRPr="009539E0">
        <w:rPr>
          <w:sz w:val="24"/>
          <w:szCs w:val="24"/>
          <w:lang w:val="ky-KG"/>
        </w:rPr>
        <w:t xml:space="preserve">сальдолоштурулган пайданын </w:t>
      </w:r>
      <w:r>
        <w:rPr>
          <w:sz w:val="24"/>
          <w:szCs w:val="24"/>
          <w:lang w:val="ky-KG"/>
        </w:rPr>
        <w:t>олуттуу</w:t>
      </w:r>
      <w:r w:rsidRPr="008846F7">
        <w:rPr>
          <w:sz w:val="24"/>
          <w:szCs w:val="24"/>
          <w:lang w:val="ky-KG"/>
        </w:rPr>
        <w:t xml:space="preserve"> </w:t>
      </w:r>
      <w:r w:rsidRPr="009539E0">
        <w:rPr>
          <w:sz w:val="24"/>
          <w:szCs w:val="24"/>
          <w:lang w:val="ky-KG"/>
        </w:rPr>
        <w:t>көлөмү</w:t>
      </w:r>
      <w:r>
        <w:rPr>
          <w:sz w:val="24"/>
          <w:szCs w:val="24"/>
          <w:lang w:val="ky-KG"/>
        </w:rPr>
        <w:t xml:space="preserve"> </w:t>
      </w:r>
      <w:r w:rsidRPr="009539E0">
        <w:rPr>
          <w:sz w:val="24"/>
          <w:szCs w:val="24"/>
          <w:lang w:val="ky-KG"/>
        </w:rPr>
        <w:t xml:space="preserve">акыркы беш жылдын ичинде </w:t>
      </w:r>
      <w:r w:rsidR="00F76638">
        <w:rPr>
          <w:sz w:val="24"/>
          <w:szCs w:val="24"/>
          <w:lang w:val="ky-KG"/>
        </w:rPr>
        <w:t>16,4</w:t>
      </w:r>
      <w:r>
        <w:rPr>
          <w:sz w:val="24"/>
          <w:szCs w:val="24"/>
          <w:lang w:val="ky-KG"/>
        </w:rPr>
        <w:t xml:space="preserve"> пайыз </w:t>
      </w:r>
      <w:r w:rsidRPr="009539E0">
        <w:rPr>
          <w:sz w:val="24"/>
          <w:szCs w:val="24"/>
          <w:lang w:val="ky-KG"/>
        </w:rPr>
        <w:t>өлчөмүндө</w:t>
      </w:r>
      <w:r>
        <w:rPr>
          <w:sz w:val="24"/>
          <w:szCs w:val="24"/>
          <w:lang w:val="ky-KG"/>
        </w:rPr>
        <w:t>г</w:t>
      </w:r>
      <w:r w:rsidRPr="009539E0">
        <w:rPr>
          <w:sz w:val="24"/>
          <w:szCs w:val="24"/>
          <w:lang w:val="ky-KG"/>
        </w:rPr>
        <w:t>ү</w:t>
      </w:r>
      <w:r w:rsidRPr="009539E0">
        <w:rPr>
          <w:b/>
          <w:i/>
          <w:sz w:val="24"/>
          <w:szCs w:val="24"/>
          <w:lang w:val="ky-KG"/>
        </w:rPr>
        <w:t xml:space="preserve"> </w:t>
      </w:r>
      <w:r w:rsidRPr="009539E0">
        <w:rPr>
          <w:sz w:val="24"/>
          <w:szCs w:val="24"/>
          <w:lang w:val="ky-KG"/>
        </w:rPr>
        <w:t xml:space="preserve">эң </w:t>
      </w:r>
      <w:r>
        <w:rPr>
          <w:sz w:val="24"/>
          <w:szCs w:val="24"/>
          <w:lang w:val="ky-KG"/>
        </w:rPr>
        <w:t>к</w:t>
      </w:r>
      <w:r w:rsidRPr="009539E0">
        <w:rPr>
          <w:sz w:val="24"/>
          <w:szCs w:val="24"/>
          <w:lang w:val="ky-KG"/>
        </w:rPr>
        <w:t>ө</w:t>
      </w:r>
      <w:r>
        <w:rPr>
          <w:sz w:val="24"/>
          <w:szCs w:val="24"/>
          <w:lang w:val="ky-KG"/>
        </w:rPr>
        <w:t>п</w:t>
      </w:r>
      <w:r w:rsidRPr="009539E0">
        <w:rPr>
          <w:sz w:val="24"/>
          <w:szCs w:val="24"/>
          <w:lang w:val="ky-KG"/>
        </w:rPr>
        <w:t xml:space="preserve"> </w:t>
      </w:r>
      <w:r w:rsidRPr="009539E0">
        <w:rPr>
          <w:b/>
          <w:i/>
          <w:sz w:val="24"/>
          <w:szCs w:val="24"/>
          <w:lang w:val="ky-KG"/>
        </w:rPr>
        <w:t xml:space="preserve">сатуулардын рентабелдүүлүк </w:t>
      </w:r>
      <w:r>
        <w:rPr>
          <w:sz w:val="24"/>
          <w:szCs w:val="24"/>
          <w:lang w:val="ky-KG"/>
        </w:rPr>
        <w:t>деңгээлинин жетишисине себеп болду.</w:t>
      </w:r>
      <w:r w:rsidRPr="009539E0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Ошентип</w:t>
      </w:r>
      <w:r w:rsidRPr="009539E0">
        <w:rPr>
          <w:sz w:val="24"/>
          <w:szCs w:val="24"/>
          <w:lang w:val="ky-KG"/>
        </w:rPr>
        <w:t xml:space="preserve">, республиканын </w:t>
      </w:r>
      <w:r w:rsidR="00BE6696">
        <w:rPr>
          <w:sz w:val="24"/>
          <w:szCs w:val="24"/>
          <w:lang w:val="ky-KG"/>
        </w:rPr>
        <w:t xml:space="preserve">экономиканын </w:t>
      </w:r>
      <w:r w:rsidRPr="009539E0">
        <w:rPr>
          <w:sz w:val="24"/>
          <w:szCs w:val="24"/>
          <w:lang w:val="ky-KG"/>
        </w:rPr>
        <w:t>ишканалары тарабынан алынган дүң кирешенин 1 сомунан орточо 0,</w:t>
      </w:r>
      <w:r>
        <w:rPr>
          <w:sz w:val="24"/>
          <w:szCs w:val="24"/>
          <w:lang w:val="ky-KG"/>
        </w:rPr>
        <w:t>1</w:t>
      </w:r>
      <w:r w:rsidR="00F76638">
        <w:rPr>
          <w:sz w:val="24"/>
          <w:szCs w:val="24"/>
          <w:lang w:val="ky-KG"/>
        </w:rPr>
        <w:t>6</w:t>
      </w:r>
      <w:r w:rsidRPr="009539E0">
        <w:rPr>
          <w:sz w:val="24"/>
          <w:szCs w:val="24"/>
          <w:lang w:val="ky-KG"/>
        </w:rPr>
        <w:t xml:space="preserve"> сом (</w:t>
      </w:r>
      <w:r>
        <w:rPr>
          <w:sz w:val="24"/>
          <w:szCs w:val="24"/>
          <w:lang w:val="ky-KG"/>
        </w:rPr>
        <w:t>1</w:t>
      </w:r>
      <w:r w:rsidR="00F76638">
        <w:rPr>
          <w:sz w:val="24"/>
          <w:szCs w:val="24"/>
          <w:lang w:val="ky-KG"/>
        </w:rPr>
        <w:t>6</w:t>
      </w:r>
      <w:r>
        <w:rPr>
          <w:sz w:val="24"/>
          <w:szCs w:val="24"/>
          <w:lang w:val="ky-KG"/>
        </w:rPr>
        <w:t xml:space="preserve"> тыйын) пайда алынды, бул рентабелдүүлүктүн</w:t>
      </w:r>
      <w:r w:rsidRPr="009539E0">
        <w:rPr>
          <w:sz w:val="24"/>
          <w:szCs w:val="24"/>
          <w:lang w:val="ky-KG"/>
        </w:rPr>
        <w:t xml:space="preserve"> орточо деңгээлине </w:t>
      </w:r>
      <w:r>
        <w:rPr>
          <w:sz w:val="24"/>
          <w:szCs w:val="24"/>
          <w:lang w:val="ky-KG"/>
        </w:rPr>
        <w:t>ылайык келди.</w:t>
      </w:r>
    </w:p>
    <w:p w:rsidR="003B3D96" w:rsidRDefault="003B3D96" w:rsidP="003B3D96">
      <w:pPr>
        <w:ind w:firstLine="709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2021-ж.</w:t>
      </w:r>
      <w:r w:rsidRPr="001B47C0">
        <w:rPr>
          <w:sz w:val="24"/>
          <w:szCs w:val="24"/>
          <w:lang w:val="ky-KG"/>
        </w:rPr>
        <w:t xml:space="preserve"> финансылык ортомчулук </w:t>
      </w:r>
      <w:r>
        <w:rPr>
          <w:sz w:val="24"/>
          <w:szCs w:val="24"/>
          <w:lang w:val="ky-KG"/>
        </w:rPr>
        <w:t xml:space="preserve">жана </w:t>
      </w:r>
      <w:r w:rsidRPr="006F1BAC">
        <w:rPr>
          <w:sz w:val="24"/>
          <w:szCs w:val="24"/>
          <w:lang w:val="ky-KG"/>
        </w:rPr>
        <w:t>камсыздандыруу</w:t>
      </w:r>
      <w:r>
        <w:rPr>
          <w:sz w:val="24"/>
          <w:szCs w:val="24"/>
          <w:lang w:val="ky-KG"/>
        </w:rPr>
        <w:t xml:space="preserve"> </w:t>
      </w:r>
      <w:r w:rsidRPr="001B47C0">
        <w:rPr>
          <w:sz w:val="24"/>
          <w:szCs w:val="24"/>
          <w:lang w:val="ky-KG"/>
        </w:rPr>
        <w:t>уюмдары, соода, маалымат жана байланыш, транспорт ишмердиги жана жүктөрдү сактоо, металл эмес минералдык продукцияларды өндүрүү ишканалары, кыймылсыз мүлк операциялары чөйрөсү</w:t>
      </w:r>
      <w:r>
        <w:rPr>
          <w:sz w:val="24"/>
          <w:szCs w:val="24"/>
          <w:lang w:val="ky-KG"/>
        </w:rPr>
        <w:t>нд</w:t>
      </w:r>
      <w:r w:rsidRPr="001B47C0">
        <w:rPr>
          <w:sz w:val="24"/>
          <w:szCs w:val="24"/>
          <w:lang w:val="ky-KG"/>
        </w:rPr>
        <w:t>ө, кесиптик, илимий жана техникалык ишмердик ишканалар</w:t>
      </w:r>
      <w:r>
        <w:rPr>
          <w:sz w:val="24"/>
          <w:szCs w:val="24"/>
          <w:lang w:val="ky-KG"/>
        </w:rPr>
        <w:t>ы</w:t>
      </w:r>
      <w:r w:rsidRPr="001B47C0">
        <w:rPr>
          <w:sz w:val="24"/>
          <w:szCs w:val="24"/>
          <w:lang w:val="ky-KG"/>
        </w:rPr>
        <w:t xml:space="preserve"> сатуулардын рен</w:t>
      </w:r>
      <w:r>
        <w:rPr>
          <w:sz w:val="24"/>
          <w:szCs w:val="24"/>
          <w:lang w:val="ky-KG"/>
        </w:rPr>
        <w:t>табелдүүлүгүнүн эң жогорку (20 пайыздан жогору) деңгээлине жетишти.</w:t>
      </w:r>
    </w:p>
    <w:p w:rsidR="003B3D96" w:rsidRDefault="003B3D96" w:rsidP="006F33B3">
      <w:pPr>
        <w:spacing w:before="120"/>
        <w:ind w:firstLine="709"/>
        <w:jc w:val="both"/>
        <w:rPr>
          <w:sz w:val="24"/>
          <w:szCs w:val="24"/>
          <w:lang w:val="ky-KG"/>
        </w:rPr>
      </w:pPr>
    </w:p>
    <w:p w:rsidR="006F33B3" w:rsidRPr="00F33B97" w:rsidRDefault="006F1BAC" w:rsidP="006F33B3">
      <w:pPr>
        <w:spacing w:before="120"/>
        <w:jc w:val="both"/>
        <w:rPr>
          <w:b/>
          <w:sz w:val="24"/>
          <w:szCs w:val="24"/>
        </w:rPr>
      </w:pPr>
      <w:r w:rsidRPr="006F1BAC">
        <w:rPr>
          <w:b/>
          <w:sz w:val="24"/>
          <w:szCs w:val="24"/>
          <w:lang w:val="ky-KG"/>
        </w:rPr>
        <w:lastRenderedPageBreak/>
        <w:t>Экономика</w:t>
      </w:r>
      <w:r w:rsidR="006F33B3" w:rsidRPr="006F1BAC">
        <w:rPr>
          <w:b/>
          <w:sz w:val="24"/>
          <w:szCs w:val="24"/>
          <w:lang w:val="ky-KG"/>
        </w:rPr>
        <w:t xml:space="preserve"> и</w:t>
      </w:r>
      <w:r w:rsidR="006F33B3" w:rsidRPr="006F1BAC">
        <w:rPr>
          <w:b/>
          <w:sz w:val="24"/>
          <w:szCs w:val="24"/>
        </w:rPr>
        <w:t xml:space="preserve">шканаларынын </w:t>
      </w:r>
      <w:r w:rsidR="00D34CBE" w:rsidRPr="006F1BAC">
        <w:rPr>
          <w:b/>
          <w:sz w:val="24"/>
          <w:szCs w:val="24"/>
        </w:rPr>
        <w:t xml:space="preserve">сатуулардын </w:t>
      </w:r>
      <w:r w:rsidR="006F33B3" w:rsidRPr="006F1BAC">
        <w:rPr>
          <w:b/>
          <w:sz w:val="24"/>
          <w:szCs w:val="24"/>
        </w:rPr>
        <w:t>рентабелдүүлүгү</w:t>
      </w:r>
    </w:p>
    <w:p w:rsidR="006F33B3" w:rsidRPr="00F33B97" w:rsidRDefault="006F33B3" w:rsidP="006F33B3">
      <w:pPr>
        <w:spacing w:before="60" w:after="60"/>
        <w:ind w:firstLine="709"/>
        <w:jc w:val="both"/>
        <w:rPr>
          <w:i/>
          <w:sz w:val="18"/>
          <w:szCs w:val="18"/>
        </w:rPr>
      </w:pPr>
      <w:r w:rsidRPr="00F33B97">
        <w:rPr>
          <w:i/>
          <w:sz w:val="18"/>
          <w:szCs w:val="18"/>
        </w:rPr>
        <w:t xml:space="preserve"> (</w:t>
      </w:r>
      <w:r w:rsidRPr="00F33B97">
        <w:rPr>
          <w:i/>
          <w:sz w:val="18"/>
          <w:szCs w:val="18"/>
          <w:lang w:val="ky-KG"/>
        </w:rPr>
        <w:t>пайыз</w:t>
      </w:r>
      <w:r w:rsidRPr="00F33B97">
        <w:rPr>
          <w:i/>
          <w:sz w:val="18"/>
          <w:szCs w:val="18"/>
        </w:rPr>
        <w:t>)</w:t>
      </w:r>
    </w:p>
    <w:p w:rsidR="006F33B3" w:rsidRDefault="00D34CBE" w:rsidP="006F33B3">
      <w:pPr>
        <w:spacing w:before="60" w:after="60"/>
        <w:jc w:val="both"/>
        <w:rPr>
          <w:rFonts w:ascii="Kyrghyz Times" w:hAnsi="Kyrghyz Times"/>
          <w:sz w:val="18"/>
          <w:szCs w:val="18"/>
        </w:rPr>
      </w:pPr>
      <w:r>
        <w:rPr>
          <w:rFonts w:ascii="Kyrghyz Times" w:hAnsi="Kyrghyz Times"/>
          <w:noProof/>
          <w:sz w:val="18"/>
          <w:szCs w:val="18"/>
        </w:rPr>
        <w:drawing>
          <wp:inline distT="0" distB="0" distL="0" distR="0" wp14:anchorId="31E0E39B">
            <wp:extent cx="5791200" cy="1895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4CBE" w:rsidRDefault="00D34CBE" w:rsidP="00D34CBE">
      <w:pPr>
        <w:pStyle w:val="a6"/>
        <w:spacing w:before="0" w:beforeAutospacing="0" w:after="0" w:afterAutospacing="0"/>
        <w:ind w:firstLine="709"/>
        <w:jc w:val="both"/>
        <w:rPr>
          <w:lang w:val="ky-KG"/>
        </w:rPr>
      </w:pPr>
      <w:r w:rsidRPr="009539E0">
        <w:rPr>
          <w:lang w:val="ky-KG" w:eastAsia="ru-RU"/>
        </w:rPr>
        <w:t xml:space="preserve">Муну менен бирге, </w:t>
      </w:r>
      <w:r w:rsidRPr="00346CDF">
        <w:rPr>
          <w:lang w:val="ky-KG"/>
        </w:rPr>
        <w:t>мунайзат продуктуларын өндүрүү</w:t>
      </w:r>
      <w:r>
        <w:rPr>
          <w:lang w:val="ky-KG"/>
        </w:rPr>
        <w:t xml:space="preserve"> ишканаларында</w:t>
      </w:r>
      <w:r w:rsidRPr="00346CDF">
        <w:rPr>
          <w:lang w:val="ky-KG"/>
        </w:rPr>
        <w:t>, химиялык өнөр</w:t>
      </w:r>
      <w:r>
        <w:rPr>
          <w:lang w:val="ky-KG"/>
        </w:rPr>
        <w:t xml:space="preserve"> жай,</w:t>
      </w:r>
      <w:r w:rsidRPr="00346CDF">
        <w:rPr>
          <w:lang w:val="ky-KG"/>
        </w:rPr>
        <w:t xml:space="preserve"> </w:t>
      </w:r>
      <w:r>
        <w:rPr>
          <w:shd w:val="clear" w:color="auto" w:fill="FFFFFF"/>
          <w:lang w:val="ky-KG"/>
        </w:rPr>
        <w:t xml:space="preserve">электр энергияны </w:t>
      </w:r>
      <w:r w:rsidRPr="00F66350">
        <w:rPr>
          <w:shd w:val="clear" w:color="auto" w:fill="FFFFFF"/>
          <w:lang w:val="ky-KG"/>
        </w:rPr>
        <w:t>өндүрүү</w:t>
      </w:r>
      <w:r>
        <w:rPr>
          <w:shd w:val="clear" w:color="auto" w:fill="FFFFFF"/>
          <w:lang w:val="ky-KG"/>
        </w:rPr>
        <w:t xml:space="preserve"> (чыгаруу), аны бер</w:t>
      </w:r>
      <w:r>
        <w:rPr>
          <w:lang w:val="ky-KG"/>
        </w:rPr>
        <w:t>үү жана б</w:t>
      </w:r>
      <w:r w:rsidRPr="00F66350">
        <w:rPr>
          <w:shd w:val="clear" w:color="auto" w:fill="FFFFFF"/>
          <w:lang w:val="ky-KG"/>
        </w:rPr>
        <w:t>ө</w:t>
      </w:r>
      <w:r>
        <w:rPr>
          <w:shd w:val="clear" w:color="auto" w:fill="FFFFFF"/>
          <w:lang w:val="ky-KG"/>
        </w:rPr>
        <w:t>л</w:t>
      </w:r>
      <w:r>
        <w:rPr>
          <w:lang w:val="ky-KG"/>
        </w:rPr>
        <w:t xml:space="preserve">үштүрүү </w:t>
      </w:r>
      <w:r w:rsidRPr="00346CDF">
        <w:rPr>
          <w:lang w:val="ky-KG"/>
        </w:rPr>
        <w:t>ишканалары</w:t>
      </w:r>
      <w:r>
        <w:rPr>
          <w:lang w:val="ky-KG"/>
        </w:rPr>
        <w:t>нда рентабелдүүлүктүн (чыгашалуулуктун)</w:t>
      </w:r>
      <w:r w:rsidRPr="00346CDF">
        <w:rPr>
          <w:lang w:val="ky-KG"/>
        </w:rPr>
        <w:t xml:space="preserve"> терс </w:t>
      </w:r>
      <w:r>
        <w:rPr>
          <w:lang w:val="ky-KG"/>
        </w:rPr>
        <w:t>маанилери белгиленди</w:t>
      </w:r>
      <w:r w:rsidRPr="007165DB">
        <w:rPr>
          <w:lang w:val="ky-KG"/>
        </w:rPr>
        <w:t>.</w:t>
      </w:r>
    </w:p>
    <w:p w:rsidR="00D34CBE" w:rsidRDefault="00D34CBE" w:rsidP="006F33B3">
      <w:pPr>
        <w:spacing w:before="60" w:after="60"/>
        <w:jc w:val="both"/>
        <w:rPr>
          <w:rFonts w:ascii="Kyrghyz Times" w:hAnsi="Kyrghyz Times"/>
          <w:sz w:val="18"/>
          <w:szCs w:val="18"/>
          <w:lang w:val="ky-KG"/>
        </w:rPr>
      </w:pPr>
    </w:p>
    <w:p w:rsidR="002A7C57" w:rsidRDefault="002A7C57" w:rsidP="006F33B3">
      <w:pPr>
        <w:spacing w:before="60" w:after="60"/>
        <w:jc w:val="both"/>
        <w:rPr>
          <w:rFonts w:ascii="Kyrghyz Times" w:hAnsi="Kyrghyz Times"/>
          <w:sz w:val="18"/>
          <w:szCs w:val="18"/>
          <w:lang w:val="ky-KG"/>
        </w:rPr>
      </w:pPr>
    </w:p>
    <w:p w:rsidR="002A7C57" w:rsidRDefault="002A7C57" w:rsidP="006F33B3">
      <w:pPr>
        <w:spacing w:before="60" w:after="60"/>
        <w:jc w:val="both"/>
        <w:rPr>
          <w:rFonts w:ascii="Kyrghyz Times" w:hAnsi="Kyrghyz Times"/>
          <w:sz w:val="18"/>
          <w:szCs w:val="18"/>
          <w:lang w:val="ky-KG"/>
        </w:rPr>
      </w:pPr>
    </w:p>
    <w:p w:rsidR="002A7C57" w:rsidRPr="0096036C" w:rsidRDefault="002A7C57" w:rsidP="002A7C57">
      <w:r w:rsidRPr="0096036C">
        <w:t>_____________________________________________________________________________________________</w:t>
      </w:r>
    </w:p>
    <w:p w:rsidR="002A7C57" w:rsidRPr="00A26630" w:rsidRDefault="002A7C57" w:rsidP="002A7C57">
      <w:pPr>
        <w:spacing w:after="120"/>
      </w:pPr>
      <w:r w:rsidRPr="00A26630">
        <w:rPr>
          <w:lang w:val="ky-KG"/>
        </w:rPr>
        <w:t>Финансы статистикасы бөлүмү</w:t>
      </w:r>
      <w:r w:rsidRPr="00A26630">
        <w:t xml:space="preserve">  </w:t>
      </w:r>
      <w:r>
        <w:t xml:space="preserve">         </w:t>
      </w:r>
      <w:r w:rsidRPr="00A26630">
        <w:t xml:space="preserve">  |e-</w:t>
      </w:r>
      <w:proofErr w:type="spellStart"/>
      <w:r w:rsidRPr="00A26630">
        <w:t>mail</w:t>
      </w:r>
      <w:proofErr w:type="spellEnd"/>
      <w:r w:rsidRPr="00A26630">
        <w:t xml:space="preserve">: </w:t>
      </w:r>
      <w:r w:rsidRPr="00A26630">
        <w:rPr>
          <w:lang w:val="en-US"/>
        </w:rPr>
        <w:t>m</w:t>
      </w:r>
      <w:r w:rsidRPr="00A26630">
        <w:t>.</w:t>
      </w:r>
      <w:proofErr w:type="spellStart"/>
      <w:r w:rsidRPr="00A26630">
        <w:rPr>
          <w:lang w:val="en-US"/>
        </w:rPr>
        <w:t>abdukadirova</w:t>
      </w:r>
      <w:proofErr w:type="spellEnd"/>
      <w:r w:rsidRPr="00A26630">
        <w:t xml:space="preserve">@stat.kg;    </w:t>
      </w:r>
      <w:r>
        <w:t xml:space="preserve">    </w:t>
      </w:r>
      <w:r w:rsidRPr="00A26630">
        <w:t xml:space="preserve">  </w:t>
      </w:r>
      <w:r>
        <w:t>|тел. + 996 (312)  626073,625591</w:t>
      </w:r>
    </w:p>
    <w:p w:rsidR="002A7C57" w:rsidRPr="00632729" w:rsidRDefault="002A7C57" w:rsidP="002A7C57">
      <w:pPr>
        <w:jc w:val="both"/>
        <w:rPr>
          <w:lang w:val="ky-KG"/>
        </w:rPr>
      </w:pPr>
      <w:r w:rsidRPr="00632729">
        <w:rPr>
          <w:lang w:val="ky-KG"/>
        </w:rPr>
        <w:t>Пайдалануучулар расмий статистиканын маалыматтарын жана тиешелүү метамаалыматтарды пайдаланууда алардын булагына шилтеме көрсөтүүгө милдеттүү ("Расмий статистика жөнүндө" Кыргыз Республикасынын Мыйзамынын 30-беренеси).</w:t>
      </w:r>
    </w:p>
    <w:p w:rsidR="002A7C57" w:rsidRDefault="002A7C57" w:rsidP="002A7C57">
      <w:pPr>
        <w:spacing w:before="120"/>
        <w:rPr>
          <w:lang w:val="ky-KG"/>
        </w:rPr>
      </w:pPr>
    </w:p>
    <w:p w:rsidR="002A7C57" w:rsidRPr="00434A8C" w:rsidRDefault="002A7C57" w:rsidP="002A7C57">
      <w:pPr>
        <w:spacing w:before="120"/>
        <w:rPr>
          <w:lang w:val="ky-KG"/>
        </w:rPr>
      </w:pPr>
      <w:r>
        <w:rPr>
          <w:lang w:val="ky-KG"/>
        </w:rPr>
        <w:t>2022-жылдын 2</w:t>
      </w:r>
      <w:r>
        <w:rPr>
          <w:lang w:val="ky-KG"/>
        </w:rPr>
        <w:t>2 сентябры</w:t>
      </w:r>
    </w:p>
    <w:p w:rsidR="002A7C57" w:rsidRPr="00D34CBE" w:rsidRDefault="002A7C57" w:rsidP="006F33B3">
      <w:pPr>
        <w:spacing w:before="60" w:after="60"/>
        <w:jc w:val="both"/>
        <w:rPr>
          <w:rFonts w:ascii="Kyrghyz Times" w:hAnsi="Kyrghyz Times"/>
          <w:sz w:val="18"/>
          <w:szCs w:val="18"/>
          <w:lang w:val="ky-KG"/>
        </w:rPr>
      </w:pPr>
      <w:bookmarkStart w:id="0" w:name="_GoBack"/>
      <w:bookmarkEnd w:id="0"/>
    </w:p>
    <w:sectPr w:rsidR="002A7C57" w:rsidRPr="00D3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0DE" w:rsidRDefault="00BE40DE" w:rsidP="006F33B3">
      <w:r>
        <w:separator/>
      </w:r>
    </w:p>
  </w:endnote>
  <w:endnote w:type="continuationSeparator" w:id="0">
    <w:p w:rsidR="00BE40DE" w:rsidRDefault="00BE40DE" w:rsidP="006F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0DE" w:rsidRDefault="00BE40DE" w:rsidP="006F33B3">
      <w:r>
        <w:separator/>
      </w:r>
    </w:p>
  </w:footnote>
  <w:footnote w:type="continuationSeparator" w:id="0">
    <w:p w:rsidR="00BE40DE" w:rsidRDefault="00BE40DE" w:rsidP="006F33B3">
      <w:r>
        <w:continuationSeparator/>
      </w:r>
    </w:p>
  </w:footnote>
  <w:footnote w:id="1">
    <w:p w:rsidR="006F33B3" w:rsidRDefault="006F33B3" w:rsidP="006F33B3">
      <w:pPr>
        <w:pStyle w:val="a4"/>
      </w:pPr>
      <w:r>
        <w:rPr>
          <w:rStyle w:val="a3"/>
          <w:rFonts w:eastAsia="Calibri"/>
        </w:rPr>
        <w:footnoteRef/>
      </w:r>
      <w:r>
        <w:t xml:space="preserve"> </w:t>
      </w:r>
      <w:r w:rsidRPr="00556638">
        <w:rPr>
          <w:lang w:val="ky-KG"/>
        </w:rPr>
        <w:t>Айлантуу чөйрөсүндөгү ишканалар үчүн</w:t>
      </w:r>
      <w:r>
        <w:rPr>
          <w:lang w:val="ky-KG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B3"/>
    <w:rsid w:val="0010420A"/>
    <w:rsid w:val="002A7C57"/>
    <w:rsid w:val="003B3D96"/>
    <w:rsid w:val="00414EBE"/>
    <w:rsid w:val="005D50CF"/>
    <w:rsid w:val="006F1BAC"/>
    <w:rsid w:val="006F33B3"/>
    <w:rsid w:val="00BE40DE"/>
    <w:rsid w:val="00BE6696"/>
    <w:rsid w:val="00C71006"/>
    <w:rsid w:val="00CB2184"/>
    <w:rsid w:val="00D34CBE"/>
    <w:rsid w:val="00D41FF3"/>
    <w:rsid w:val="00E64604"/>
    <w:rsid w:val="00F6543D"/>
    <w:rsid w:val="00F7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5FAD-03E8-4C5E-9DB1-92DD5D06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6F33B3"/>
    <w:rPr>
      <w:vertAlign w:val="superscript"/>
    </w:rPr>
  </w:style>
  <w:style w:type="paragraph" w:styleId="a4">
    <w:name w:val="footnote text"/>
    <w:aliases w:val="single space,FOOTNOTES,fn,footnote text,Footnote,12pt,Footnote Text Char1 Char,Footnote Text Char1 Char Char Char Char,Footnote Text Char1 Char Char Char,Geneva 9,Font: Geneva 9,Boston 10,f,Footnote Text Char Char,poznppMV,Char Знак Знак"/>
    <w:basedOn w:val="a"/>
    <w:link w:val="a5"/>
    <w:uiPriority w:val="99"/>
    <w:rsid w:val="006F33B3"/>
  </w:style>
  <w:style w:type="character" w:customStyle="1" w:styleId="a5">
    <w:name w:val="Текст сноски Знак"/>
    <w:aliases w:val="single space Знак,FOOTNOTES Знак,fn Знак,footnote text Знак,Footnote Знак,12pt Знак,Footnote Text Char1 Char Знак,Footnote Text Char1 Char Char Char Char Знак,Footnote Text Char1 Char Char Char Знак,Geneva 9 Знак,Font: Geneva 9 Знак"/>
    <w:basedOn w:val="a0"/>
    <w:link w:val="a4"/>
    <w:uiPriority w:val="99"/>
    <w:rsid w:val="006F3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6F33B3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Svaluyskaya</dc:creator>
  <cp:keywords/>
  <dc:description/>
  <cp:lastModifiedBy>Svaluyskaya</cp:lastModifiedBy>
  <cp:revision>6</cp:revision>
  <dcterms:created xsi:type="dcterms:W3CDTF">2022-09-21T09:24:00Z</dcterms:created>
  <dcterms:modified xsi:type="dcterms:W3CDTF">2022-09-22T05:10:00Z</dcterms:modified>
</cp:coreProperties>
</file>