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single" w:sz="4" w:space="0" w:color="auto"/>
        </w:tblBorders>
        <w:tblCellMar>
          <w:left w:w="70" w:type="dxa"/>
          <w:right w:w="70" w:type="dxa"/>
        </w:tblCellMar>
        <w:tblLook w:val="00A0" w:firstRow="1" w:lastRow="0" w:firstColumn="1" w:lastColumn="0" w:noHBand="0" w:noVBand="0"/>
      </w:tblPr>
      <w:tblGrid>
        <w:gridCol w:w="1788"/>
        <w:gridCol w:w="7566"/>
      </w:tblGrid>
      <w:tr w:rsidR="008A4286" w:rsidTr="008256CB">
        <w:tc>
          <w:tcPr>
            <w:tcW w:w="956" w:type="pct"/>
            <w:tcBorders>
              <w:top w:val="nil"/>
              <w:left w:val="nil"/>
              <w:bottom w:val="single" w:sz="4" w:space="0" w:color="auto"/>
              <w:right w:val="nil"/>
            </w:tcBorders>
            <w:vAlign w:val="center"/>
            <w:hideMark/>
          </w:tcPr>
          <w:p w:rsidR="008A4286" w:rsidRDefault="008A4286" w:rsidP="008256CB">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EB40984" wp14:editId="0BDDF063">
                  <wp:extent cx="781050" cy="781050"/>
                  <wp:effectExtent l="0" t="0" r="0" b="0"/>
                  <wp:docPr id="7" name="Рисунок 7" descr="logo N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logo NS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4044" w:type="pct"/>
            <w:tcBorders>
              <w:top w:val="nil"/>
              <w:left w:val="nil"/>
              <w:bottom w:val="single" w:sz="4" w:space="0" w:color="auto"/>
              <w:right w:val="nil"/>
            </w:tcBorders>
            <w:hideMark/>
          </w:tcPr>
          <w:p w:rsidR="008A4286" w:rsidRDefault="008A4286" w:rsidP="008256CB">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ПРЕСС-РЕЛИЗ</w:t>
            </w:r>
          </w:p>
          <w:p w:rsidR="008A4286" w:rsidRDefault="008A4286" w:rsidP="008256C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НАЦИОНАЛЬНОГО СТАТИСТИЧЕСКОГО </w:t>
            </w:r>
            <w:proofErr w:type="gramStart"/>
            <w:r>
              <w:rPr>
                <w:rFonts w:ascii="Times New Roman" w:hAnsi="Times New Roman" w:cs="Times New Roman"/>
                <w:sz w:val="24"/>
                <w:szCs w:val="24"/>
                <w:lang w:eastAsia="ru-RU"/>
              </w:rPr>
              <w:t xml:space="preserve">КОМИТЕТА  </w:t>
            </w:r>
            <w:r>
              <w:rPr>
                <w:rFonts w:ascii="Times New Roman" w:hAnsi="Times New Roman" w:cs="Times New Roman"/>
                <w:sz w:val="24"/>
                <w:szCs w:val="24"/>
                <w:lang w:eastAsia="ru-RU"/>
              </w:rPr>
              <w:br/>
              <w:t>КЫРГЫЗСКОЙ</w:t>
            </w:r>
            <w:proofErr w:type="gramEnd"/>
            <w:r>
              <w:rPr>
                <w:rFonts w:ascii="Times New Roman" w:hAnsi="Times New Roman" w:cs="Times New Roman"/>
                <w:sz w:val="24"/>
                <w:szCs w:val="24"/>
                <w:lang w:eastAsia="ru-RU"/>
              </w:rPr>
              <w:t xml:space="preserve"> РЕСПУБЛИКИ</w:t>
            </w:r>
          </w:p>
          <w:p w:rsidR="008A4286" w:rsidRDefault="008A4286" w:rsidP="008256CB">
            <w:pPr>
              <w:spacing w:after="0" w:line="240" w:lineRule="auto"/>
              <w:ind w:firstLine="150"/>
              <w:jc w:val="right"/>
              <w:rPr>
                <w:rFonts w:ascii="Times New Roman" w:hAnsi="Times New Roman" w:cs="Times New Roman"/>
                <w:sz w:val="24"/>
                <w:szCs w:val="24"/>
              </w:rPr>
            </w:pPr>
            <w:r>
              <w:rPr>
                <w:rFonts w:ascii="Times New Roman" w:hAnsi="Times New Roman" w:cs="Times New Roman"/>
                <w:color w:val="000000"/>
                <w:sz w:val="24"/>
                <w:szCs w:val="24"/>
                <w:lang w:val="ky-KG" w:eastAsia="ru-RU"/>
              </w:rPr>
              <w:t>1</w:t>
            </w:r>
            <w:r>
              <w:rPr>
                <w:rFonts w:ascii="Times New Roman" w:hAnsi="Times New Roman" w:cs="Times New Roman"/>
                <w:color w:val="000000"/>
                <w:sz w:val="24"/>
                <w:szCs w:val="24"/>
                <w:lang w:eastAsia="ru-RU"/>
              </w:rPr>
              <w:t>1.</w:t>
            </w:r>
            <w:r w:rsidRPr="00DB0E0F">
              <w:rPr>
                <w:rFonts w:ascii="Times New Roman" w:hAnsi="Times New Roman" w:cs="Times New Roman"/>
                <w:color w:val="000000"/>
                <w:sz w:val="24"/>
                <w:szCs w:val="24"/>
                <w:lang w:eastAsia="ru-RU"/>
              </w:rPr>
              <w:t>0</w:t>
            </w:r>
            <w:r>
              <w:rPr>
                <w:rFonts w:ascii="Times New Roman" w:hAnsi="Times New Roman" w:cs="Times New Roman"/>
                <w:color w:val="000000"/>
                <w:sz w:val="24"/>
                <w:szCs w:val="24"/>
                <w:lang w:eastAsia="ru-RU"/>
              </w:rPr>
              <w:t>2.20</w:t>
            </w:r>
            <w:r w:rsidRPr="00DB0E0F">
              <w:rPr>
                <w:rFonts w:ascii="Times New Roman" w:hAnsi="Times New Roman" w:cs="Times New Roman"/>
                <w:color w:val="000000"/>
                <w:sz w:val="24"/>
                <w:szCs w:val="24"/>
                <w:lang w:eastAsia="ru-RU"/>
              </w:rPr>
              <w:t>20</w:t>
            </w:r>
            <w:r w:rsidR="00DB0E0F">
              <w:rPr>
                <w:rFonts w:ascii="Times New Roman" w:hAnsi="Times New Roman" w:cs="Times New Roman"/>
                <w:color w:val="000000"/>
                <w:sz w:val="24"/>
                <w:szCs w:val="24"/>
                <w:lang w:eastAsia="ru-RU"/>
              </w:rPr>
              <w:t>ж</w:t>
            </w:r>
            <w:r>
              <w:rPr>
                <w:rFonts w:ascii="Times New Roman" w:hAnsi="Times New Roman" w:cs="Times New Roman"/>
                <w:color w:val="000000"/>
                <w:sz w:val="24"/>
                <w:szCs w:val="24"/>
                <w:lang w:eastAsia="ru-RU"/>
              </w:rPr>
              <w:t>.</w:t>
            </w:r>
          </w:p>
        </w:tc>
      </w:tr>
    </w:tbl>
    <w:p w:rsidR="008A4286" w:rsidRDefault="008A4286" w:rsidP="008A4286">
      <w:pPr>
        <w:pStyle w:val="a4"/>
        <w:shd w:val="clear" w:color="auto" w:fill="FFFFFF"/>
        <w:spacing w:before="0" w:beforeAutospacing="0" w:after="0" w:afterAutospacing="0"/>
        <w:ind w:firstLine="708"/>
        <w:jc w:val="both"/>
        <w:rPr>
          <w:rFonts w:ascii="Times New Roman" w:hAnsi="Times New Roman" w:cs="Times New Roman"/>
          <w:b/>
          <w:bCs/>
        </w:rPr>
      </w:pPr>
    </w:p>
    <w:p w:rsidR="008A4286" w:rsidRPr="008C2654" w:rsidRDefault="00DF4734" w:rsidP="008C2654">
      <w:pPr>
        <w:pStyle w:val="a4"/>
        <w:shd w:val="clear" w:color="auto" w:fill="FFFFFF"/>
        <w:spacing w:before="0" w:beforeAutospacing="0" w:after="120" w:afterAutospacing="0"/>
        <w:jc w:val="both"/>
        <w:rPr>
          <w:rFonts w:ascii="Times New Roman" w:hAnsi="Times New Roman" w:cs="Times New Roman"/>
          <w:b/>
          <w:bCs/>
        </w:rPr>
      </w:pPr>
      <w:r w:rsidRPr="008C2654">
        <w:rPr>
          <w:rFonts w:ascii="Times New Roman" w:hAnsi="Times New Roman" w:cs="Times New Roman"/>
          <w:b/>
          <w:bCs/>
        </w:rPr>
        <w:t>2020-жылдын</w:t>
      </w:r>
      <w:r w:rsidR="00261E47" w:rsidRPr="008C2654">
        <w:rPr>
          <w:rFonts w:ascii="Times New Roman" w:hAnsi="Times New Roman" w:cs="Times New Roman"/>
          <w:b/>
          <w:bCs/>
          <w:lang w:val="ky-KG"/>
        </w:rPr>
        <w:t xml:space="preserve"> январь айынын жыйынтыгы менен</w:t>
      </w:r>
      <w:r w:rsidRPr="008C2654">
        <w:rPr>
          <w:rFonts w:ascii="Times New Roman" w:hAnsi="Times New Roman" w:cs="Times New Roman"/>
          <w:b/>
          <w:bCs/>
        </w:rPr>
        <w:t xml:space="preserve"> </w:t>
      </w:r>
      <w:proofErr w:type="spellStart"/>
      <w:r w:rsidRPr="008C2654">
        <w:rPr>
          <w:rFonts w:ascii="Times New Roman" w:hAnsi="Times New Roman" w:cs="Times New Roman"/>
          <w:b/>
          <w:bCs/>
        </w:rPr>
        <w:t>экономикалык</w:t>
      </w:r>
      <w:proofErr w:type="spellEnd"/>
      <w:r w:rsidRPr="008C2654">
        <w:rPr>
          <w:rFonts w:ascii="Times New Roman" w:hAnsi="Times New Roman" w:cs="Times New Roman"/>
          <w:b/>
          <w:bCs/>
        </w:rPr>
        <w:t xml:space="preserve"> </w:t>
      </w:r>
      <w:r w:rsidRPr="008C2654">
        <w:rPr>
          <w:rFonts w:ascii="Times New Roman" w:hAnsi="Times New Roman" w:cs="Times New Roman"/>
          <w:b/>
          <w:bCs/>
          <w:lang w:val="ky-KG"/>
        </w:rPr>
        <w:t xml:space="preserve">өсүш 1,8 пайызды түздү  </w:t>
      </w:r>
      <w:r w:rsidR="008A4286" w:rsidRPr="008C2654">
        <w:rPr>
          <w:rFonts w:ascii="Times New Roman" w:hAnsi="Times New Roman" w:cs="Times New Roman"/>
          <w:b/>
          <w:bCs/>
        </w:rPr>
        <w:t xml:space="preserve"> </w:t>
      </w:r>
      <w:r w:rsidR="008A4286" w:rsidRPr="008C2654">
        <w:rPr>
          <w:rFonts w:ascii="Times New Roman" w:hAnsi="Times New Roman" w:cs="Times New Roman"/>
          <w:b/>
          <w:bCs/>
        </w:rPr>
        <w:br/>
      </w:r>
    </w:p>
    <w:p w:rsidR="00261E47" w:rsidRPr="008C2654" w:rsidRDefault="00261E47" w:rsidP="008C2654">
      <w:pPr>
        <w:pStyle w:val="a4"/>
        <w:shd w:val="clear" w:color="auto" w:fill="FFFFFF"/>
        <w:spacing w:before="0" w:beforeAutospacing="0" w:after="120" w:afterAutospacing="0"/>
        <w:ind w:firstLine="709"/>
        <w:jc w:val="both"/>
        <w:rPr>
          <w:rFonts w:ascii="Times New Roman" w:hAnsi="Times New Roman" w:cs="Times New Roman"/>
          <w:bCs/>
          <w:lang w:val="ky-KG"/>
        </w:rPr>
      </w:pPr>
      <w:r w:rsidRPr="008C2654">
        <w:rPr>
          <w:rFonts w:ascii="Times New Roman" w:hAnsi="Times New Roman" w:cs="Times New Roman"/>
          <w:bCs/>
          <w:lang w:val="ky-KG"/>
        </w:rPr>
        <w:t>Бүгүн, 11-февралда, Улуттукстаткомитетте 2020-жылды</w:t>
      </w:r>
      <w:r w:rsidR="00DA1D36" w:rsidRPr="008C2654">
        <w:rPr>
          <w:rFonts w:ascii="Times New Roman" w:hAnsi="Times New Roman" w:cs="Times New Roman"/>
          <w:bCs/>
          <w:lang w:val="ky-KG"/>
        </w:rPr>
        <w:t>н январь айынын жыйынтыгы менен</w:t>
      </w:r>
      <w:r w:rsidRPr="008C2654">
        <w:rPr>
          <w:rFonts w:ascii="Times New Roman" w:hAnsi="Times New Roman" w:cs="Times New Roman"/>
          <w:bCs/>
          <w:lang w:val="ky-KG"/>
        </w:rPr>
        <w:t xml:space="preserve"> </w:t>
      </w:r>
      <w:r w:rsidR="00DA1D36" w:rsidRPr="008C2654">
        <w:rPr>
          <w:rFonts w:ascii="Times New Roman" w:hAnsi="Times New Roman" w:cs="Times New Roman"/>
          <w:bCs/>
          <w:lang w:val="ky-KG"/>
        </w:rPr>
        <w:t xml:space="preserve">республиканын социалдык-экономикалык өнүгүшү боюнча маалымат жыйын өттү.  </w:t>
      </w:r>
    </w:p>
    <w:p w:rsidR="005F3319" w:rsidRPr="008C2654" w:rsidRDefault="005F3319" w:rsidP="008C2654">
      <w:pPr>
        <w:pStyle w:val="a4"/>
        <w:shd w:val="clear" w:color="auto" w:fill="FFFFFF"/>
        <w:spacing w:before="0" w:beforeAutospacing="0" w:after="120" w:afterAutospacing="0"/>
        <w:ind w:firstLine="709"/>
        <w:jc w:val="both"/>
        <w:rPr>
          <w:rFonts w:ascii="Times New Roman" w:hAnsi="Times New Roman" w:cs="Times New Roman"/>
          <w:bCs/>
          <w:lang w:val="ky-KG"/>
        </w:rPr>
      </w:pPr>
      <w:r w:rsidRPr="008C2654">
        <w:rPr>
          <w:rFonts w:ascii="Times New Roman" w:hAnsi="Times New Roman" w:cs="Times New Roman"/>
          <w:lang w:val="ky-KG"/>
        </w:rPr>
        <w:t xml:space="preserve">2020-жылдын январь айында </w:t>
      </w:r>
      <w:r w:rsidRPr="008C2654">
        <w:rPr>
          <w:rFonts w:ascii="Times New Roman" w:hAnsi="Times New Roman" w:cs="Times New Roman"/>
          <w:b/>
          <w:lang w:val="ky-KG"/>
        </w:rPr>
        <w:t>Ички дүң</w:t>
      </w:r>
      <w:r w:rsidRPr="008C2654">
        <w:rPr>
          <w:rFonts w:ascii="Times New Roman" w:hAnsi="Times New Roman" w:cs="Times New Roman"/>
          <w:b/>
          <w:lang w:val="ky-KG"/>
        </w:rPr>
        <w:t xml:space="preserve"> продукт</w:t>
      </w:r>
      <w:r w:rsidRPr="008C2654">
        <w:rPr>
          <w:rFonts w:ascii="Times New Roman" w:hAnsi="Times New Roman" w:cs="Times New Roman"/>
          <w:lang w:val="ky-KG"/>
        </w:rPr>
        <w:t xml:space="preserve">, алдын ала маалыматка караганда 31 млрд сомду түзүп, 2019-жылдын январь айына салыштырмалуу </w:t>
      </w:r>
      <w:r w:rsidRPr="008C2654">
        <w:rPr>
          <w:rFonts w:ascii="Times New Roman" w:hAnsi="Times New Roman" w:cs="Times New Roman"/>
          <w:b/>
          <w:lang w:val="ky-KG"/>
        </w:rPr>
        <w:t>1,8 пайызга өстү</w:t>
      </w:r>
      <w:r w:rsidRPr="008C2654">
        <w:rPr>
          <w:rFonts w:ascii="Times New Roman" w:hAnsi="Times New Roman" w:cs="Times New Roman"/>
          <w:lang w:val="ky-KG"/>
        </w:rPr>
        <w:t xml:space="preserve">. </w:t>
      </w:r>
    </w:p>
    <w:p w:rsidR="009C1141" w:rsidRPr="008C2654" w:rsidRDefault="008D0CF1" w:rsidP="008C2654">
      <w:pPr>
        <w:spacing w:after="0" w:line="240" w:lineRule="auto"/>
        <w:ind w:firstLine="709"/>
        <w:jc w:val="both"/>
        <w:rPr>
          <w:rFonts w:ascii="Times New Roman" w:hAnsi="Times New Roman" w:cs="Times New Roman"/>
          <w:sz w:val="24"/>
          <w:szCs w:val="24"/>
          <w:lang w:val="ky-KG"/>
        </w:rPr>
      </w:pPr>
      <w:bookmarkStart w:id="0" w:name="OLE_LINK2"/>
      <w:bookmarkStart w:id="1" w:name="OLE_LINK1"/>
      <w:r w:rsidRPr="008C2654">
        <w:rPr>
          <w:rFonts w:ascii="Times New Roman" w:hAnsi="Times New Roman" w:cs="Times New Roman"/>
          <w:sz w:val="24"/>
          <w:szCs w:val="24"/>
          <w:lang w:val="ky-KG"/>
        </w:rPr>
        <w:t xml:space="preserve"> </w:t>
      </w:r>
      <w:r w:rsidR="009C1141" w:rsidRPr="008C2654">
        <w:rPr>
          <w:rFonts w:ascii="Times New Roman" w:hAnsi="Times New Roman" w:cs="Times New Roman"/>
          <w:sz w:val="24"/>
          <w:szCs w:val="24"/>
          <w:lang w:val="ky-KG"/>
        </w:rPr>
        <w:t xml:space="preserve">“Кумтор” </w:t>
      </w:r>
      <w:r w:rsidR="008C396A" w:rsidRPr="008C2654">
        <w:rPr>
          <w:rFonts w:ascii="Times New Roman" w:hAnsi="Times New Roman" w:cs="Times New Roman"/>
          <w:sz w:val="24"/>
          <w:szCs w:val="24"/>
          <w:lang w:val="ky-KG"/>
        </w:rPr>
        <w:t xml:space="preserve">кенин эске албаганда </w:t>
      </w:r>
      <w:r w:rsidR="00614840">
        <w:rPr>
          <w:rFonts w:ascii="Times New Roman" w:hAnsi="Times New Roman" w:cs="Times New Roman"/>
          <w:sz w:val="24"/>
          <w:szCs w:val="24"/>
          <w:lang w:val="ky-KG"/>
        </w:rPr>
        <w:t>2020-жылдын янв</w:t>
      </w:r>
      <w:r w:rsidR="008C396A" w:rsidRPr="008C2654">
        <w:rPr>
          <w:rFonts w:ascii="Times New Roman" w:hAnsi="Times New Roman" w:cs="Times New Roman"/>
          <w:sz w:val="24"/>
          <w:szCs w:val="24"/>
          <w:lang w:val="ky-KG"/>
        </w:rPr>
        <w:t>арь айында УДПнын көлөмү 28 млрд сомго жакындап</w:t>
      </w:r>
      <w:r w:rsidRPr="008C2654">
        <w:rPr>
          <w:rFonts w:ascii="Times New Roman" w:hAnsi="Times New Roman" w:cs="Times New Roman"/>
          <w:sz w:val="24"/>
          <w:szCs w:val="24"/>
          <w:lang w:val="ky-KG"/>
        </w:rPr>
        <w:t xml:space="preserve">, </w:t>
      </w:r>
      <w:r w:rsidRPr="008C2654">
        <w:rPr>
          <w:rFonts w:ascii="Times New Roman" w:hAnsi="Times New Roman" w:cs="Times New Roman"/>
          <w:b/>
          <w:sz w:val="24"/>
          <w:szCs w:val="24"/>
          <w:lang w:val="ky-KG"/>
        </w:rPr>
        <w:t>2,5 пайызга өскөн</w:t>
      </w:r>
      <w:r w:rsidRPr="008C2654">
        <w:rPr>
          <w:rFonts w:ascii="Times New Roman" w:hAnsi="Times New Roman" w:cs="Times New Roman"/>
          <w:sz w:val="24"/>
          <w:szCs w:val="24"/>
          <w:lang w:val="ky-KG"/>
        </w:rPr>
        <w:t xml:space="preserve">. </w:t>
      </w:r>
      <w:r w:rsidR="008C396A" w:rsidRPr="008C2654">
        <w:rPr>
          <w:rFonts w:ascii="Times New Roman" w:hAnsi="Times New Roman" w:cs="Times New Roman"/>
          <w:sz w:val="24"/>
          <w:szCs w:val="24"/>
          <w:lang w:val="ky-KG"/>
        </w:rPr>
        <w:t xml:space="preserve">  </w:t>
      </w:r>
    </w:p>
    <w:p w:rsidR="008A4286" w:rsidRPr="008C2654" w:rsidRDefault="008D0CF1" w:rsidP="00AB1220">
      <w:pPr>
        <w:spacing w:before="120" w:after="120"/>
        <w:ind w:firstLine="709"/>
        <w:jc w:val="center"/>
        <w:rPr>
          <w:rFonts w:ascii="Times New Roman" w:hAnsi="Times New Roman" w:cs="Times New Roman"/>
          <w:sz w:val="24"/>
          <w:szCs w:val="24"/>
          <w:lang w:val="ky-KG"/>
        </w:rPr>
      </w:pPr>
      <w:r w:rsidRPr="008C2654">
        <w:rPr>
          <w:rFonts w:ascii="Times New Roman" w:hAnsi="Times New Roman" w:cs="Times New Roman"/>
          <w:b/>
          <w:bCs/>
          <w:sz w:val="24"/>
          <w:szCs w:val="24"/>
          <w:lang w:val="ky-KG"/>
        </w:rPr>
        <w:t xml:space="preserve">Ички дүң өндүрүмдүүлүк </w:t>
      </w:r>
      <w:r w:rsidR="008A4286" w:rsidRPr="008C2654">
        <w:rPr>
          <w:rFonts w:ascii="Times New Roman" w:hAnsi="Times New Roman" w:cs="Times New Roman"/>
          <w:sz w:val="24"/>
          <w:szCs w:val="24"/>
          <w:lang w:val="ky-KG"/>
        </w:rPr>
        <w:br/>
      </w:r>
      <w:r w:rsidRPr="008C2654">
        <w:rPr>
          <w:rFonts w:ascii="Times New Roman" w:hAnsi="Times New Roman" w:cs="Times New Roman"/>
          <w:i/>
          <w:iCs/>
          <w:sz w:val="24"/>
          <w:szCs w:val="24"/>
          <w:lang w:val="ky-KG"/>
        </w:rPr>
        <w:t>(тиешелүү жылдын убагына карата пайыздык көрсөткүч</w:t>
      </w:r>
      <w:r w:rsidR="008A4286" w:rsidRPr="008C2654">
        <w:rPr>
          <w:rFonts w:ascii="Times New Roman" w:hAnsi="Times New Roman" w:cs="Times New Roman"/>
          <w:i/>
          <w:iCs/>
          <w:sz w:val="24"/>
          <w:szCs w:val="24"/>
          <w:lang w:val="ky-KG"/>
        </w:rPr>
        <w:t>)</w:t>
      </w:r>
    </w:p>
    <w:p w:rsidR="008A4286" w:rsidRPr="008C2654" w:rsidRDefault="008A4286" w:rsidP="008C2654">
      <w:pPr>
        <w:jc w:val="both"/>
        <w:rPr>
          <w:rFonts w:ascii="Times New Roman" w:hAnsi="Times New Roman" w:cs="Times New Roman"/>
          <w:sz w:val="24"/>
          <w:szCs w:val="24"/>
        </w:rPr>
      </w:pPr>
      <w:r w:rsidRPr="008C2654">
        <w:rPr>
          <w:rFonts w:ascii="Times New Roman" w:hAnsi="Times New Roman" w:cs="Times New Roman"/>
          <w:noProof/>
          <w:sz w:val="24"/>
          <w:szCs w:val="24"/>
          <w:lang w:eastAsia="ru-RU"/>
        </w:rPr>
        <w:drawing>
          <wp:inline distT="0" distB="0" distL="0" distR="0" wp14:anchorId="2B9DDBCE" wp14:editId="620639BD">
            <wp:extent cx="3467100" cy="18764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02A2C" w:rsidRPr="008C2654" w:rsidRDefault="00B02A2C" w:rsidP="008C2654">
      <w:pPr>
        <w:ind w:firstLine="708"/>
        <w:jc w:val="both"/>
        <w:rPr>
          <w:rFonts w:ascii="Times New Roman" w:hAnsi="Times New Roman" w:cs="Times New Roman"/>
          <w:sz w:val="24"/>
          <w:szCs w:val="24"/>
          <w:lang w:val="ky-KG"/>
        </w:rPr>
      </w:pPr>
      <w:r w:rsidRPr="008C2654">
        <w:rPr>
          <w:rFonts w:ascii="Times New Roman" w:hAnsi="Times New Roman" w:cs="Times New Roman"/>
          <w:sz w:val="24"/>
          <w:szCs w:val="24"/>
          <w:lang w:val="ky-KG"/>
        </w:rPr>
        <w:t xml:space="preserve">2020-жылдын январындагы </w:t>
      </w:r>
      <w:r w:rsidRPr="008C2654">
        <w:rPr>
          <w:rFonts w:ascii="Times New Roman" w:hAnsi="Times New Roman" w:cs="Times New Roman"/>
          <w:b/>
          <w:sz w:val="24"/>
          <w:szCs w:val="24"/>
          <w:lang w:val="ky-KG"/>
        </w:rPr>
        <w:t>өнөр жай өндүрүшүнүн көлөмүнүн</w:t>
      </w:r>
      <w:r w:rsidRPr="008C2654">
        <w:rPr>
          <w:rFonts w:ascii="Times New Roman" w:hAnsi="Times New Roman" w:cs="Times New Roman"/>
          <w:sz w:val="24"/>
          <w:szCs w:val="24"/>
          <w:lang w:val="ky-KG"/>
        </w:rPr>
        <w:t xml:space="preserve"> (0,8 пайызга) өсүшү текстиль өндүрүшүнүн, кийим, булгаары, булгаарыдан жасалган буюмдар, бут кийим (1,9 эсеге),  чийки мунайзат жана жаратылыш газы (38,1 пайызга), резина жана пластмасса буюмдарынын өндүрүшү (28,3 пайызга), металл рудалары (21,7 пайызга), жыгач иштетүү жана жыгачтан жасалган буюмдардын өндүрүшү (10,5 пайызга), ошондой эле тамак-аш азыктарын өндүрүүнүн (3,1 пайызга)  көбөйүшү менен шартталды. </w:t>
      </w:r>
    </w:p>
    <w:p w:rsidR="008D0CF1" w:rsidRPr="008C2654" w:rsidRDefault="008D0CF1" w:rsidP="008C2654">
      <w:pPr>
        <w:spacing w:after="0" w:line="240" w:lineRule="auto"/>
        <w:ind w:firstLine="709"/>
        <w:jc w:val="both"/>
        <w:rPr>
          <w:rFonts w:ascii="Times New Roman" w:hAnsi="Times New Roman" w:cs="Times New Roman"/>
          <w:sz w:val="24"/>
          <w:szCs w:val="24"/>
          <w:lang w:val="ky-KG"/>
        </w:rPr>
      </w:pPr>
    </w:p>
    <w:p w:rsidR="008A4286" w:rsidRPr="008C2654" w:rsidRDefault="000A48DC" w:rsidP="00AB1220">
      <w:pPr>
        <w:pStyle w:val="Default"/>
        <w:spacing w:before="120"/>
        <w:ind w:firstLine="709"/>
        <w:jc w:val="center"/>
        <w:rPr>
          <w:rFonts w:ascii="Times New Roman" w:hAnsi="Times New Roman" w:cs="Times New Roman"/>
          <w:lang w:val="ky-KG"/>
        </w:rPr>
      </w:pPr>
      <w:r w:rsidRPr="008C2654">
        <w:rPr>
          <w:rFonts w:ascii="Times New Roman" w:hAnsi="Times New Roman" w:cs="Times New Roman"/>
          <w:b/>
          <w:bCs/>
          <w:lang w:val="ky-KG"/>
        </w:rPr>
        <w:t>Өнөр жай продукциясынын көлөмү</w:t>
      </w:r>
      <w:r w:rsidR="008A4286" w:rsidRPr="008C2654">
        <w:rPr>
          <w:rFonts w:ascii="Times New Roman" w:hAnsi="Times New Roman" w:cs="Times New Roman"/>
          <w:lang w:val="ky-KG"/>
        </w:rPr>
        <w:br/>
      </w:r>
      <w:r w:rsidR="00AB1220">
        <w:rPr>
          <w:rFonts w:ascii="Times New Roman" w:hAnsi="Times New Roman" w:cs="Times New Roman"/>
          <w:i/>
          <w:iCs/>
          <w:lang w:val="ky-KG"/>
        </w:rPr>
        <w:t xml:space="preserve">                        </w:t>
      </w:r>
      <w:r w:rsidR="00762B44" w:rsidRPr="008C2654">
        <w:rPr>
          <w:rFonts w:ascii="Times New Roman" w:hAnsi="Times New Roman" w:cs="Times New Roman"/>
          <w:i/>
          <w:iCs/>
          <w:lang w:val="ky-KG"/>
        </w:rPr>
        <w:t>(</w:t>
      </w:r>
      <w:r w:rsidR="00762B44" w:rsidRPr="008C2654">
        <w:rPr>
          <w:rFonts w:ascii="Times New Roman" w:hAnsi="Times New Roman" w:cs="Times New Roman"/>
          <w:i/>
          <w:iCs/>
          <w:lang w:val="ky-KG"/>
        </w:rPr>
        <w:t>тиешелүү жылдын убагына карата пайыздык көрсөткүч</w:t>
      </w:r>
      <w:r w:rsidR="008A4286" w:rsidRPr="008C2654">
        <w:rPr>
          <w:rFonts w:ascii="Times New Roman" w:hAnsi="Times New Roman" w:cs="Times New Roman"/>
          <w:i/>
          <w:iCs/>
          <w:lang w:val="ky-KG"/>
        </w:rPr>
        <w:t>)</w:t>
      </w:r>
    </w:p>
    <w:p w:rsidR="008A4286" w:rsidRPr="008C2654" w:rsidRDefault="008A4286" w:rsidP="008C2654">
      <w:pPr>
        <w:jc w:val="both"/>
        <w:rPr>
          <w:rFonts w:ascii="Times New Roman" w:hAnsi="Times New Roman" w:cs="Times New Roman"/>
          <w:sz w:val="24"/>
          <w:szCs w:val="24"/>
        </w:rPr>
      </w:pPr>
      <w:r w:rsidRPr="008C2654">
        <w:rPr>
          <w:rFonts w:ascii="Times New Roman" w:hAnsi="Times New Roman" w:cs="Times New Roman"/>
          <w:noProof/>
          <w:sz w:val="24"/>
          <w:szCs w:val="24"/>
          <w:lang w:eastAsia="ru-RU"/>
        </w:rPr>
        <w:drawing>
          <wp:inline distT="0" distB="0" distL="0" distR="0" wp14:anchorId="23E1E193" wp14:editId="2B979D0B">
            <wp:extent cx="3419475" cy="184785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D1C20" w:rsidRPr="008C2654" w:rsidRDefault="00484386" w:rsidP="008C2654">
      <w:pPr>
        <w:shd w:val="clear" w:color="auto" w:fill="FFFFFF"/>
        <w:spacing w:after="60"/>
        <w:ind w:firstLine="709"/>
        <w:jc w:val="both"/>
        <w:rPr>
          <w:rFonts w:ascii="Times New Roman" w:hAnsi="Times New Roman" w:cs="Times New Roman"/>
          <w:sz w:val="24"/>
          <w:szCs w:val="24"/>
          <w:lang w:val="ky-KG"/>
        </w:rPr>
      </w:pPr>
      <w:r w:rsidRPr="008C2654">
        <w:rPr>
          <w:rFonts w:ascii="Times New Roman" w:hAnsi="Times New Roman" w:cs="Times New Roman"/>
          <w:sz w:val="24"/>
          <w:szCs w:val="24"/>
          <w:lang w:val="ky-KG"/>
        </w:rPr>
        <w:lastRenderedPageBreak/>
        <w:t>Айыл чарба продукцияларынын дүң чыгарылышынын көлөмү 2018-ж. январына салыштырмалуу 1,6</w:t>
      </w:r>
      <w:r w:rsidR="00032FB4" w:rsidRPr="008C2654">
        <w:rPr>
          <w:rFonts w:ascii="Times New Roman" w:hAnsi="Times New Roman" w:cs="Times New Roman"/>
          <w:sz w:val="24"/>
          <w:szCs w:val="24"/>
          <w:lang w:val="ky-KG"/>
        </w:rPr>
        <w:t xml:space="preserve"> пайызга</w:t>
      </w:r>
      <w:r w:rsidRPr="008C2654">
        <w:rPr>
          <w:rFonts w:ascii="Times New Roman" w:hAnsi="Times New Roman" w:cs="Times New Roman"/>
          <w:sz w:val="24"/>
          <w:szCs w:val="24"/>
          <w:lang w:val="ky-KG"/>
        </w:rPr>
        <w:t xml:space="preserve"> </w:t>
      </w:r>
      <w:r w:rsidR="00032FB4" w:rsidRPr="008C2654">
        <w:rPr>
          <w:rFonts w:ascii="Times New Roman" w:hAnsi="Times New Roman" w:cs="Times New Roman"/>
          <w:sz w:val="24"/>
          <w:szCs w:val="24"/>
          <w:lang w:val="ky-KG"/>
        </w:rPr>
        <w:t xml:space="preserve">өстү. </w:t>
      </w:r>
      <w:r w:rsidRPr="008C2654">
        <w:rPr>
          <w:rFonts w:ascii="Times New Roman" w:hAnsi="Times New Roman" w:cs="Times New Roman"/>
          <w:sz w:val="24"/>
          <w:szCs w:val="24"/>
          <w:lang w:val="ky-KG"/>
        </w:rPr>
        <w:t xml:space="preserve"> </w:t>
      </w:r>
      <w:r w:rsidR="001D1C20" w:rsidRPr="008C2654">
        <w:rPr>
          <w:rFonts w:ascii="Times New Roman" w:hAnsi="Times New Roman" w:cs="Times New Roman"/>
          <w:sz w:val="24"/>
          <w:szCs w:val="24"/>
          <w:lang w:val="ky-KG"/>
        </w:rPr>
        <w:t>Дү</w:t>
      </w:r>
      <w:r w:rsidR="00C966FD" w:rsidRPr="008C2654">
        <w:rPr>
          <w:rFonts w:ascii="Times New Roman" w:hAnsi="Times New Roman" w:cs="Times New Roman"/>
          <w:sz w:val="24"/>
          <w:szCs w:val="24"/>
          <w:lang w:val="ky-KG"/>
        </w:rPr>
        <w:t>ң жана чекене соода жүгүртүүнүн -4,6 пайызга</w:t>
      </w:r>
      <w:r w:rsidR="001D1C20" w:rsidRPr="008C2654">
        <w:rPr>
          <w:rFonts w:ascii="Times New Roman" w:hAnsi="Times New Roman" w:cs="Times New Roman"/>
          <w:sz w:val="24"/>
          <w:szCs w:val="24"/>
          <w:lang w:val="ky-KG"/>
        </w:rPr>
        <w:t xml:space="preserve"> көбөй</w:t>
      </w:r>
      <w:r w:rsidR="00CC5071" w:rsidRPr="008C2654">
        <w:rPr>
          <w:rFonts w:ascii="Times New Roman" w:hAnsi="Times New Roman" w:cs="Times New Roman"/>
          <w:sz w:val="24"/>
          <w:szCs w:val="24"/>
          <w:lang w:val="ky-KG"/>
        </w:rPr>
        <w:t xml:space="preserve">сө, курулуш тармагында 1,1 пайыз өсүш байкалат. </w:t>
      </w:r>
    </w:p>
    <w:p w:rsidR="00CC5071" w:rsidRPr="008C2654" w:rsidRDefault="00C85BEB" w:rsidP="00C15BA5">
      <w:pPr>
        <w:pStyle w:val="Default"/>
        <w:ind w:firstLine="708"/>
        <w:jc w:val="both"/>
        <w:rPr>
          <w:rFonts w:ascii="Times New Roman" w:hAnsi="Times New Roman" w:cs="Times New Roman"/>
          <w:bCs/>
          <w:lang w:val="ky-KG"/>
        </w:rPr>
      </w:pPr>
      <w:r w:rsidRPr="008C2654">
        <w:rPr>
          <w:rFonts w:ascii="Times New Roman" w:hAnsi="Times New Roman" w:cs="Times New Roman"/>
          <w:lang w:val="ky-KG"/>
        </w:rPr>
        <w:t>Үстүбүздөгү жылдын январында өткөн жылдын декабрына салыштырмалуу керектөө бааларынын жана тарифтеринин өсүүсү 0,6 пайызды түздү. Ушул эле учурда баалардын алкоголдук ичимдиктерге жана тамекиге (2,2 пайызга), тамак-аш азыктарына жана алкоголсуз суусундуктарга (1,0 пайызга) эң көп өскөнү белгиленди.</w:t>
      </w:r>
      <w:r w:rsidRPr="008C2654">
        <w:rPr>
          <w:rFonts w:ascii="Times New Roman" w:hAnsi="Times New Roman" w:cs="Times New Roman"/>
          <w:lang w:val="ky-KG"/>
        </w:rPr>
        <w:t xml:space="preserve"> </w:t>
      </w:r>
    </w:p>
    <w:p w:rsidR="00C67D45" w:rsidRPr="008C2654" w:rsidRDefault="00C67D45" w:rsidP="00C15BA5">
      <w:pPr>
        <w:spacing w:after="0" w:line="240" w:lineRule="auto"/>
        <w:jc w:val="both"/>
        <w:rPr>
          <w:rFonts w:ascii="Times New Roman" w:hAnsi="Times New Roman" w:cs="Times New Roman"/>
          <w:bCs/>
          <w:color w:val="000000"/>
          <w:sz w:val="24"/>
          <w:szCs w:val="24"/>
          <w:lang w:val="ky-KG" w:eastAsia="ru-RU"/>
        </w:rPr>
      </w:pPr>
      <w:r w:rsidRPr="008C2654">
        <w:rPr>
          <w:rFonts w:ascii="Times New Roman" w:hAnsi="Times New Roman" w:cs="Times New Roman"/>
          <w:sz w:val="24"/>
          <w:szCs w:val="24"/>
          <w:lang w:val="ky-KG"/>
        </w:rPr>
        <w:t>Ошону менен бирге үстүбүздөгү жылдын январында өткөн жылдын декабрына салыштырмалуу калкка көрсөтүлүүчү кызматтардын тарифтеринин (0,1 пайызга) бир аз жогорулаганы, ал эми азык-түлүк эмес товарлардын баалары,  тескерисинче, 0,2 пайызга  төмөндөгөнү белгиленди</w:t>
      </w:r>
      <w:r w:rsidRPr="008C2654">
        <w:rPr>
          <w:rFonts w:ascii="Times New Roman" w:hAnsi="Times New Roman" w:cs="Times New Roman"/>
          <w:sz w:val="24"/>
          <w:szCs w:val="24"/>
          <w:lang w:val="ky-KG"/>
        </w:rPr>
        <w:t xml:space="preserve">. </w:t>
      </w:r>
    </w:p>
    <w:p w:rsidR="00D74FBB" w:rsidRDefault="00C15BA5" w:rsidP="00C15BA5">
      <w:pPr>
        <w:pStyle w:val="Default"/>
        <w:jc w:val="both"/>
        <w:rPr>
          <w:rFonts w:ascii="Times New Roman" w:hAnsi="Times New Roman" w:cs="Times New Roman"/>
          <w:lang w:val="ky-KG"/>
        </w:rPr>
      </w:pPr>
      <w:r>
        <w:rPr>
          <w:rFonts w:ascii="Times New Roman" w:hAnsi="Times New Roman" w:cs="Times New Roman"/>
          <w:lang w:val="ky-KG"/>
        </w:rPr>
        <w:t>Р</w:t>
      </w:r>
      <w:r w:rsidR="00D74FBB" w:rsidRPr="008C2654">
        <w:rPr>
          <w:rFonts w:ascii="Times New Roman" w:hAnsi="Times New Roman" w:cs="Times New Roman"/>
          <w:lang w:val="ky-KG"/>
        </w:rPr>
        <w:t>еспубликанын бардык региондорунда керектөө бааларынын жана тарифтеринин жогорулоосу белгиленди. Ушул эле учурда, алардын максималдуу (0,7 пайыз) өсүшү Чүй облусунда жана Бишкек шаарында катталды.</w:t>
      </w:r>
    </w:p>
    <w:p w:rsidR="00C15BA5" w:rsidRPr="008C2654" w:rsidRDefault="00C15BA5" w:rsidP="008C2654">
      <w:pPr>
        <w:pStyle w:val="Default"/>
        <w:ind w:firstLine="707"/>
        <w:jc w:val="both"/>
        <w:rPr>
          <w:rFonts w:ascii="Times New Roman" w:hAnsi="Times New Roman" w:cs="Times New Roman"/>
          <w:color w:val="auto"/>
          <w:lang w:val="ky-KG"/>
        </w:rPr>
      </w:pPr>
    </w:p>
    <w:p w:rsidR="00D74FBB" w:rsidRPr="008C2654" w:rsidRDefault="003248B3" w:rsidP="00C15BA5">
      <w:pPr>
        <w:spacing w:after="0" w:line="240" w:lineRule="auto"/>
        <w:ind w:firstLine="707"/>
        <w:jc w:val="both"/>
        <w:rPr>
          <w:rFonts w:ascii="Times New Roman" w:hAnsi="Times New Roman" w:cs="Times New Roman"/>
          <w:sz w:val="24"/>
          <w:szCs w:val="24"/>
          <w:lang w:val="ky-KG"/>
        </w:rPr>
      </w:pPr>
      <w:r w:rsidRPr="008C2654">
        <w:rPr>
          <w:rFonts w:ascii="Times New Roman" w:hAnsi="Times New Roman" w:cs="Times New Roman"/>
          <w:sz w:val="24"/>
          <w:szCs w:val="24"/>
          <w:lang w:val="ky-KG"/>
        </w:rPr>
        <w:t xml:space="preserve">Кыргыз Республикасынын </w:t>
      </w:r>
      <w:r w:rsidRPr="008C2654">
        <w:rPr>
          <w:rFonts w:ascii="Times New Roman" w:hAnsi="Times New Roman" w:cs="Times New Roman"/>
          <w:b/>
          <w:sz w:val="24"/>
          <w:szCs w:val="24"/>
          <w:lang w:val="ky-KG"/>
        </w:rPr>
        <w:t>тышкы соода жүгүртүүсү</w:t>
      </w:r>
      <w:r w:rsidRPr="008C2654">
        <w:rPr>
          <w:rFonts w:ascii="Times New Roman" w:hAnsi="Times New Roman" w:cs="Times New Roman"/>
          <w:sz w:val="24"/>
          <w:szCs w:val="24"/>
          <w:lang w:val="ky-KG"/>
        </w:rPr>
        <w:t xml:space="preserve"> 2019-жылдын январь-декабрь айында 7 млрд АКШ долларына жакындады, 2018-жылдын январь-декабрь мезгилине салыштырмалуу </w:t>
      </w:r>
      <w:r w:rsidR="00DF2B3A" w:rsidRPr="008C2654">
        <w:rPr>
          <w:rFonts w:ascii="Times New Roman" w:hAnsi="Times New Roman" w:cs="Times New Roman"/>
          <w:b/>
          <w:sz w:val="24"/>
          <w:szCs w:val="24"/>
          <w:lang w:val="ky-KG"/>
        </w:rPr>
        <w:t>3,6 пайызга</w:t>
      </w:r>
      <w:r w:rsidR="00DF2B3A" w:rsidRPr="008C2654">
        <w:rPr>
          <w:rFonts w:ascii="Times New Roman" w:hAnsi="Times New Roman" w:cs="Times New Roman"/>
          <w:sz w:val="24"/>
          <w:szCs w:val="24"/>
          <w:lang w:val="ky-KG"/>
        </w:rPr>
        <w:t xml:space="preserve"> төмөндөдү. Ошол эле мезгилде </w:t>
      </w:r>
      <w:r w:rsidR="00DF2B3A" w:rsidRPr="008C2654">
        <w:rPr>
          <w:rFonts w:ascii="Times New Roman" w:hAnsi="Times New Roman" w:cs="Times New Roman"/>
          <w:b/>
          <w:sz w:val="24"/>
          <w:szCs w:val="24"/>
          <w:lang w:val="ky-KG"/>
        </w:rPr>
        <w:t>экспорттун көлөмү</w:t>
      </w:r>
      <w:r w:rsidR="00DF2B3A" w:rsidRPr="008C2654">
        <w:rPr>
          <w:rFonts w:ascii="Times New Roman" w:hAnsi="Times New Roman" w:cs="Times New Roman"/>
          <w:sz w:val="24"/>
          <w:szCs w:val="24"/>
          <w:lang w:val="ky-KG"/>
        </w:rPr>
        <w:t xml:space="preserve"> 7 п</w:t>
      </w:r>
      <w:r w:rsidR="00F521B6" w:rsidRPr="008C2654">
        <w:rPr>
          <w:rFonts w:ascii="Times New Roman" w:hAnsi="Times New Roman" w:cs="Times New Roman"/>
          <w:sz w:val="24"/>
          <w:szCs w:val="24"/>
          <w:lang w:val="ky-KG"/>
        </w:rPr>
        <w:t xml:space="preserve">айызга өстү, </w:t>
      </w:r>
      <w:r w:rsidR="00F521B6" w:rsidRPr="008C2654">
        <w:rPr>
          <w:rFonts w:ascii="Times New Roman" w:hAnsi="Times New Roman" w:cs="Times New Roman"/>
          <w:b/>
          <w:sz w:val="24"/>
          <w:szCs w:val="24"/>
          <w:lang w:val="ky-KG"/>
        </w:rPr>
        <w:t>импорт болсо</w:t>
      </w:r>
      <w:r w:rsidR="00F521B6" w:rsidRPr="008C2654">
        <w:rPr>
          <w:rFonts w:ascii="Times New Roman" w:hAnsi="Times New Roman" w:cs="Times New Roman"/>
          <w:sz w:val="24"/>
          <w:szCs w:val="24"/>
          <w:lang w:val="ky-KG"/>
        </w:rPr>
        <w:t xml:space="preserve">, тескерисинче, </w:t>
      </w:r>
      <w:r w:rsidR="00F521B6" w:rsidRPr="00552536">
        <w:rPr>
          <w:rFonts w:ascii="Times New Roman" w:hAnsi="Times New Roman" w:cs="Times New Roman"/>
          <w:b/>
          <w:sz w:val="24"/>
          <w:szCs w:val="24"/>
          <w:lang w:val="ky-KG"/>
        </w:rPr>
        <w:t>7,3 пайызга</w:t>
      </w:r>
      <w:r w:rsidR="00F521B6" w:rsidRPr="008C2654">
        <w:rPr>
          <w:rFonts w:ascii="Times New Roman" w:hAnsi="Times New Roman" w:cs="Times New Roman"/>
          <w:sz w:val="24"/>
          <w:szCs w:val="24"/>
          <w:lang w:val="ky-KG"/>
        </w:rPr>
        <w:t xml:space="preserve"> кыскарган. </w:t>
      </w:r>
      <w:r w:rsidRPr="008C2654">
        <w:rPr>
          <w:rFonts w:ascii="Times New Roman" w:hAnsi="Times New Roman" w:cs="Times New Roman"/>
          <w:sz w:val="24"/>
          <w:szCs w:val="24"/>
          <w:lang w:val="ky-KG"/>
        </w:rPr>
        <w:t xml:space="preserve"> </w:t>
      </w:r>
    </w:p>
    <w:p w:rsidR="00F521B6" w:rsidRPr="008C2654" w:rsidRDefault="008820CC" w:rsidP="008C2654">
      <w:pPr>
        <w:spacing w:after="0" w:line="240" w:lineRule="auto"/>
        <w:ind w:firstLine="708"/>
        <w:jc w:val="both"/>
        <w:rPr>
          <w:rFonts w:ascii="Times New Roman" w:hAnsi="Times New Roman" w:cs="Times New Roman"/>
          <w:bCs/>
          <w:color w:val="000000"/>
          <w:sz w:val="24"/>
          <w:szCs w:val="24"/>
          <w:lang w:val="ky-KG" w:eastAsia="ru-RU"/>
        </w:rPr>
      </w:pPr>
      <w:r w:rsidRPr="008C2654">
        <w:rPr>
          <w:rFonts w:ascii="Times New Roman" w:hAnsi="Times New Roman" w:cs="Times New Roman"/>
          <w:bCs/>
          <w:color w:val="000000"/>
          <w:sz w:val="24"/>
          <w:szCs w:val="24"/>
          <w:lang w:val="ky-KG" w:eastAsia="ru-RU"/>
        </w:rPr>
        <w:t xml:space="preserve">ЕАЭБге мүчө мамлекеттер менен болгон эки тараптуу соода-сатык 2019-жылдын январь-декабрь аралыгында </w:t>
      </w:r>
      <w:r w:rsidRPr="008C2654">
        <w:rPr>
          <w:rFonts w:ascii="Times New Roman" w:hAnsi="Times New Roman" w:cs="Times New Roman"/>
          <w:b/>
          <w:bCs/>
          <w:color w:val="000000"/>
          <w:sz w:val="24"/>
          <w:szCs w:val="24"/>
          <w:lang w:val="ky-KG" w:eastAsia="ru-RU"/>
        </w:rPr>
        <w:t>2,6 млрд АКШ долларын</w:t>
      </w:r>
      <w:r w:rsidRPr="008C2654">
        <w:rPr>
          <w:rFonts w:ascii="Times New Roman" w:hAnsi="Times New Roman" w:cs="Times New Roman"/>
          <w:bCs/>
          <w:color w:val="000000"/>
          <w:sz w:val="24"/>
          <w:szCs w:val="24"/>
          <w:lang w:val="ky-KG" w:eastAsia="ru-RU"/>
        </w:rPr>
        <w:t xml:space="preserve"> түздү, </w:t>
      </w:r>
      <w:r w:rsidR="007E0CA5" w:rsidRPr="008C2654">
        <w:rPr>
          <w:rFonts w:ascii="Times New Roman" w:hAnsi="Times New Roman" w:cs="Times New Roman"/>
          <w:bCs/>
          <w:color w:val="000000"/>
          <w:sz w:val="24"/>
          <w:szCs w:val="24"/>
          <w:lang w:val="ky-KG" w:eastAsia="ru-RU"/>
        </w:rPr>
        <w:t xml:space="preserve">бул 2018-жылдын январь-декабрь айларына салыштырмалуу </w:t>
      </w:r>
      <w:r w:rsidR="007E0CA5" w:rsidRPr="008C2654">
        <w:rPr>
          <w:rFonts w:ascii="Times New Roman" w:hAnsi="Times New Roman" w:cs="Times New Roman"/>
          <w:b/>
          <w:bCs/>
          <w:color w:val="000000"/>
          <w:sz w:val="24"/>
          <w:szCs w:val="24"/>
          <w:lang w:val="ky-KG" w:eastAsia="ru-RU"/>
        </w:rPr>
        <w:t>5,9 пайызга</w:t>
      </w:r>
      <w:r w:rsidR="007E0CA5" w:rsidRPr="008C2654">
        <w:rPr>
          <w:rFonts w:ascii="Times New Roman" w:hAnsi="Times New Roman" w:cs="Times New Roman"/>
          <w:bCs/>
          <w:color w:val="000000"/>
          <w:sz w:val="24"/>
          <w:szCs w:val="24"/>
          <w:lang w:val="ky-KG" w:eastAsia="ru-RU"/>
        </w:rPr>
        <w:t xml:space="preserve"> төмөн. </w:t>
      </w:r>
    </w:p>
    <w:p w:rsidR="008A7732" w:rsidRPr="008C2654" w:rsidRDefault="00204573" w:rsidP="008C2654">
      <w:pPr>
        <w:pStyle w:val="Default"/>
        <w:ind w:firstLine="707"/>
        <w:jc w:val="both"/>
        <w:rPr>
          <w:rFonts w:ascii="Times New Roman" w:hAnsi="Times New Roman" w:cs="Times New Roman"/>
          <w:color w:val="auto"/>
          <w:lang w:val="ky-KG"/>
        </w:rPr>
      </w:pPr>
      <w:r w:rsidRPr="008C2654">
        <w:rPr>
          <w:rFonts w:ascii="Times New Roman" w:hAnsi="Times New Roman" w:cs="Times New Roman"/>
          <w:bCs/>
          <w:lang w:val="ky-KG"/>
        </w:rPr>
        <w:t>Ошол эле маалда экс</w:t>
      </w:r>
      <w:r w:rsidR="008A7732" w:rsidRPr="008C2654">
        <w:rPr>
          <w:rFonts w:ascii="Times New Roman" w:hAnsi="Times New Roman" w:cs="Times New Roman"/>
          <w:bCs/>
          <w:lang w:val="ky-KG"/>
        </w:rPr>
        <w:t xml:space="preserve">порттун көлөмү 3,1 пайызга жана </w:t>
      </w:r>
      <w:r w:rsidRPr="008C2654">
        <w:rPr>
          <w:rFonts w:ascii="Times New Roman" w:hAnsi="Times New Roman" w:cs="Times New Roman"/>
          <w:bCs/>
          <w:lang w:val="ky-KG"/>
        </w:rPr>
        <w:t>импорттун көлөмү</w:t>
      </w:r>
      <w:r w:rsidR="008A7732" w:rsidRPr="008C2654">
        <w:rPr>
          <w:rFonts w:ascii="Times New Roman" w:hAnsi="Times New Roman" w:cs="Times New Roman"/>
          <w:bCs/>
          <w:lang w:val="ky-KG"/>
        </w:rPr>
        <w:t xml:space="preserve"> – 6,7 пайызга азайган. </w:t>
      </w:r>
      <w:r w:rsidRPr="008C2654">
        <w:rPr>
          <w:rFonts w:ascii="Times New Roman" w:hAnsi="Times New Roman" w:cs="Times New Roman"/>
          <w:bCs/>
          <w:lang w:val="ky-KG"/>
        </w:rPr>
        <w:t xml:space="preserve"> </w:t>
      </w:r>
      <w:r w:rsidR="008A7732" w:rsidRPr="008C2654">
        <w:rPr>
          <w:rFonts w:ascii="Times New Roman" w:hAnsi="Times New Roman" w:cs="Times New Roman"/>
          <w:i/>
          <w:color w:val="auto"/>
          <w:lang w:val="ky-KG"/>
        </w:rPr>
        <w:t>ЕАЭБдин</w:t>
      </w:r>
      <w:r w:rsidR="008A7732" w:rsidRPr="008C2654">
        <w:rPr>
          <w:rFonts w:ascii="Times New Roman" w:hAnsi="Times New Roman" w:cs="Times New Roman"/>
          <w:color w:val="auto"/>
          <w:lang w:val="ky-KG"/>
        </w:rPr>
        <w:t xml:space="preserve"> мүчө-мамлекеттери менен республиканын өз ара соодасынын эң көп үлүшү Россияга (61,9 пайызы) жана Казакстанга (</w:t>
      </w:r>
      <w:r w:rsidR="00F3422B" w:rsidRPr="008C2654">
        <w:rPr>
          <w:rFonts w:ascii="Times New Roman" w:hAnsi="Times New Roman" w:cs="Times New Roman"/>
          <w:color w:val="auto"/>
          <w:lang w:val="ky-KG"/>
        </w:rPr>
        <w:t>35,9</w:t>
      </w:r>
      <w:r w:rsidR="008A7732" w:rsidRPr="008C2654">
        <w:rPr>
          <w:rFonts w:ascii="Times New Roman" w:hAnsi="Times New Roman" w:cs="Times New Roman"/>
          <w:color w:val="auto"/>
          <w:lang w:val="ky-KG"/>
        </w:rPr>
        <w:t xml:space="preserve"> пайызы) туура ке</w:t>
      </w:r>
      <w:bookmarkStart w:id="2" w:name="_GoBack"/>
      <w:bookmarkEnd w:id="2"/>
      <w:r w:rsidR="008A7732" w:rsidRPr="008C2654">
        <w:rPr>
          <w:rFonts w:ascii="Times New Roman" w:hAnsi="Times New Roman" w:cs="Times New Roman"/>
          <w:color w:val="auto"/>
          <w:lang w:val="ky-KG"/>
        </w:rPr>
        <w:t>лди.</w:t>
      </w:r>
    </w:p>
    <w:p w:rsidR="008A7732" w:rsidRPr="008C2654" w:rsidRDefault="008A7732" w:rsidP="008C2654">
      <w:pPr>
        <w:ind w:firstLine="709"/>
        <w:jc w:val="both"/>
        <w:rPr>
          <w:rFonts w:ascii="Times New Roman" w:hAnsi="Times New Roman" w:cs="Times New Roman"/>
          <w:sz w:val="24"/>
          <w:szCs w:val="24"/>
          <w:lang w:val="ky-KG"/>
        </w:rPr>
        <w:sectPr w:rsidR="008A7732" w:rsidRPr="008C2654" w:rsidSect="009F3054">
          <w:footerReference w:type="even" r:id="rId7"/>
          <w:footerReference w:type="default" r:id="rId8"/>
          <w:pgSz w:w="11906" w:h="16838"/>
          <w:pgMar w:top="1134" w:right="851" w:bottom="907" w:left="1701" w:header="709" w:footer="709" w:gutter="0"/>
          <w:cols w:space="708"/>
          <w:docGrid w:linePitch="360"/>
        </w:sectPr>
      </w:pPr>
    </w:p>
    <w:p w:rsidR="00204573" w:rsidRPr="008C2654" w:rsidRDefault="00204573" w:rsidP="008C2654">
      <w:pPr>
        <w:spacing w:after="0" w:line="240" w:lineRule="auto"/>
        <w:ind w:firstLine="708"/>
        <w:jc w:val="both"/>
        <w:rPr>
          <w:rFonts w:ascii="Times New Roman" w:hAnsi="Times New Roman" w:cs="Times New Roman"/>
          <w:bCs/>
          <w:color w:val="000000"/>
          <w:sz w:val="24"/>
          <w:szCs w:val="24"/>
          <w:lang w:val="ky-KG" w:eastAsia="ru-RU"/>
        </w:rPr>
      </w:pPr>
    </w:p>
    <w:p w:rsidR="008A4286" w:rsidRPr="008C2654" w:rsidRDefault="00F919BC" w:rsidP="00AB1220">
      <w:pPr>
        <w:spacing w:before="120" w:after="120" w:line="240" w:lineRule="auto"/>
        <w:ind w:firstLine="709"/>
        <w:jc w:val="center"/>
        <w:rPr>
          <w:rFonts w:ascii="Times New Roman" w:hAnsi="Times New Roman" w:cs="Times New Roman"/>
          <w:i/>
          <w:iCs/>
          <w:sz w:val="24"/>
          <w:szCs w:val="24"/>
          <w:lang w:val="ky-KG"/>
        </w:rPr>
      </w:pPr>
      <w:r w:rsidRPr="008C2654">
        <w:rPr>
          <w:rFonts w:ascii="Times New Roman" w:hAnsi="Times New Roman" w:cs="Times New Roman"/>
          <w:b/>
          <w:bCs/>
          <w:sz w:val="24"/>
          <w:szCs w:val="24"/>
          <w:lang w:val="ky-KG"/>
        </w:rPr>
        <w:t xml:space="preserve">Кыргызстан менен ЕАЭБге мүчө мамлекеттердин ортосундагы соода-сатык  </w:t>
      </w:r>
      <w:r w:rsidR="008A4286" w:rsidRPr="008C2654">
        <w:rPr>
          <w:rFonts w:ascii="Times New Roman" w:hAnsi="Times New Roman" w:cs="Times New Roman"/>
          <w:sz w:val="24"/>
          <w:szCs w:val="24"/>
          <w:lang w:val="ky-KG"/>
        </w:rPr>
        <w:br/>
      </w:r>
      <w:r w:rsidR="00AB1220">
        <w:rPr>
          <w:rFonts w:ascii="Times New Roman" w:hAnsi="Times New Roman" w:cs="Times New Roman"/>
          <w:i/>
          <w:iCs/>
          <w:sz w:val="24"/>
          <w:szCs w:val="24"/>
          <w:lang w:val="ky-KG"/>
        </w:rPr>
        <w:t xml:space="preserve">                            </w:t>
      </w:r>
      <w:r w:rsidR="008A4286" w:rsidRPr="008C2654">
        <w:rPr>
          <w:rFonts w:ascii="Times New Roman" w:hAnsi="Times New Roman" w:cs="Times New Roman"/>
          <w:i/>
          <w:iCs/>
          <w:sz w:val="24"/>
          <w:szCs w:val="24"/>
          <w:lang w:val="ky-KG"/>
        </w:rPr>
        <w:t>(</w:t>
      </w:r>
      <w:r w:rsidR="008A2E4C" w:rsidRPr="008C2654">
        <w:rPr>
          <w:rFonts w:ascii="Times New Roman" w:hAnsi="Times New Roman" w:cs="Times New Roman"/>
          <w:i/>
          <w:iCs/>
          <w:sz w:val="24"/>
          <w:szCs w:val="24"/>
          <w:lang w:val="ky-KG"/>
        </w:rPr>
        <w:t>тиешелүү жылдын убагына карата пайыздык көрсөткүч</w:t>
      </w:r>
      <w:r w:rsidR="008A4286" w:rsidRPr="008C2654">
        <w:rPr>
          <w:rFonts w:ascii="Times New Roman" w:hAnsi="Times New Roman" w:cs="Times New Roman"/>
          <w:i/>
          <w:iCs/>
          <w:sz w:val="24"/>
          <w:szCs w:val="24"/>
          <w:lang w:val="ky-KG"/>
        </w:rPr>
        <w:t>)</w:t>
      </w:r>
    </w:p>
    <w:p w:rsidR="008A4286" w:rsidRPr="008C2654" w:rsidRDefault="008A4286" w:rsidP="008C2654">
      <w:pPr>
        <w:spacing w:after="0" w:line="240" w:lineRule="auto"/>
        <w:ind w:left="1134" w:firstLine="709"/>
        <w:jc w:val="both"/>
        <w:rPr>
          <w:rFonts w:ascii="Times New Roman" w:hAnsi="Times New Roman" w:cs="Times New Roman"/>
          <w:b/>
          <w:bCs/>
          <w:i/>
          <w:iCs/>
          <w:sz w:val="24"/>
          <w:szCs w:val="24"/>
        </w:rPr>
      </w:pPr>
      <w:r w:rsidRPr="008C2654">
        <w:rPr>
          <w:rFonts w:ascii="Times New Roman" w:hAnsi="Times New Roman" w:cs="Times New Roman"/>
          <w:b/>
          <w:bCs/>
          <w:i/>
          <w:iCs/>
          <w:sz w:val="24"/>
          <w:szCs w:val="24"/>
        </w:rPr>
        <w:t>Импорт</w:t>
      </w:r>
      <w:r w:rsidRPr="008C2654">
        <w:rPr>
          <w:rFonts w:ascii="Times New Roman" w:hAnsi="Times New Roman" w:cs="Times New Roman"/>
          <w:b/>
          <w:bCs/>
          <w:i/>
          <w:iCs/>
          <w:sz w:val="24"/>
          <w:szCs w:val="24"/>
        </w:rPr>
        <w:tab/>
      </w:r>
      <w:r w:rsidRPr="008C2654">
        <w:rPr>
          <w:rFonts w:ascii="Times New Roman" w:hAnsi="Times New Roman" w:cs="Times New Roman"/>
          <w:b/>
          <w:bCs/>
          <w:i/>
          <w:iCs/>
          <w:sz w:val="24"/>
          <w:szCs w:val="24"/>
        </w:rPr>
        <w:tab/>
      </w:r>
      <w:r w:rsidRPr="008C2654">
        <w:rPr>
          <w:rFonts w:ascii="Times New Roman" w:hAnsi="Times New Roman" w:cs="Times New Roman"/>
          <w:b/>
          <w:bCs/>
          <w:i/>
          <w:iCs/>
          <w:sz w:val="24"/>
          <w:szCs w:val="24"/>
        </w:rPr>
        <w:tab/>
      </w:r>
      <w:r w:rsidRPr="008C2654">
        <w:rPr>
          <w:rFonts w:ascii="Times New Roman" w:hAnsi="Times New Roman" w:cs="Times New Roman"/>
          <w:b/>
          <w:bCs/>
          <w:i/>
          <w:iCs/>
          <w:sz w:val="24"/>
          <w:szCs w:val="24"/>
        </w:rPr>
        <w:tab/>
      </w:r>
      <w:r w:rsidRPr="008C2654">
        <w:rPr>
          <w:rFonts w:ascii="Times New Roman" w:hAnsi="Times New Roman" w:cs="Times New Roman"/>
          <w:b/>
          <w:bCs/>
          <w:i/>
          <w:iCs/>
          <w:sz w:val="24"/>
          <w:szCs w:val="24"/>
        </w:rPr>
        <w:tab/>
      </w:r>
      <w:r w:rsidRPr="008C2654">
        <w:rPr>
          <w:rFonts w:ascii="Times New Roman" w:hAnsi="Times New Roman" w:cs="Times New Roman"/>
          <w:b/>
          <w:bCs/>
          <w:i/>
          <w:iCs/>
          <w:sz w:val="24"/>
          <w:szCs w:val="24"/>
        </w:rPr>
        <w:tab/>
      </w:r>
      <w:r w:rsidRPr="008C2654">
        <w:rPr>
          <w:rFonts w:ascii="Times New Roman" w:hAnsi="Times New Roman" w:cs="Times New Roman"/>
          <w:b/>
          <w:bCs/>
          <w:i/>
          <w:iCs/>
          <w:sz w:val="24"/>
          <w:szCs w:val="24"/>
        </w:rPr>
        <w:tab/>
        <w:t>Экспорт</w:t>
      </w:r>
    </w:p>
    <w:tbl>
      <w:tblPr>
        <w:tblW w:w="5475" w:type="pct"/>
        <w:tblLook w:val="01E0" w:firstRow="1" w:lastRow="1" w:firstColumn="1" w:lastColumn="1" w:noHBand="0" w:noVBand="0"/>
      </w:tblPr>
      <w:tblGrid>
        <w:gridCol w:w="11178"/>
        <w:gridCol w:w="222"/>
      </w:tblGrid>
      <w:tr w:rsidR="008A4286" w:rsidRPr="008C2654" w:rsidTr="008256CB">
        <w:trPr>
          <w:trHeight w:val="2835"/>
        </w:trPr>
        <w:tc>
          <w:tcPr>
            <w:tcW w:w="4903" w:type="pct"/>
            <w:hideMark/>
          </w:tcPr>
          <w:tbl>
            <w:tblPr>
              <w:tblW w:w="5052" w:type="pct"/>
              <w:tblLook w:val="01E0" w:firstRow="1" w:lastRow="1" w:firstColumn="1" w:lastColumn="1" w:noHBand="0" w:noVBand="0"/>
            </w:tblPr>
            <w:tblGrid>
              <w:gridCol w:w="5721"/>
              <w:gridCol w:w="5355"/>
            </w:tblGrid>
            <w:tr w:rsidR="008A4286" w:rsidRPr="008C2654" w:rsidTr="008256CB">
              <w:trPr>
                <w:trHeight w:val="3277"/>
              </w:trPr>
              <w:tc>
                <w:tcPr>
                  <w:tcW w:w="2550" w:type="pct"/>
                  <w:hideMark/>
                </w:tcPr>
                <w:p w:rsidR="008A4286" w:rsidRPr="008C2654" w:rsidRDefault="008A4286" w:rsidP="008C2654">
                  <w:pPr>
                    <w:jc w:val="both"/>
                    <w:rPr>
                      <w:rFonts w:ascii="Times New Roman" w:hAnsi="Times New Roman" w:cs="Times New Roman"/>
                      <w:sz w:val="24"/>
                      <w:szCs w:val="24"/>
                    </w:rPr>
                  </w:pPr>
                  <w:r w:rsidRPr="008C2654">
                    <w:rPr>
                      <w:rFonts w:ascii="Times New Roman" w:hAnsi="Times New Roman" w:cs="Times New Roman"/>
                      <w:noProof/>
                      <w:sz w:val="24"/>
                      <w:szCs w:val="24"/>
                      <w:lang w:eastAsia="ru-RU"/>
                    </w:rPr>
                    <w:drawing>
                      <wp:inline distT="0" distB="0" distL="0" distR="0" wp14:anchorId="72708443" wp14:editId="618EF34D">
                        <wp:extent cx="3495675" cy="199072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450" w:type="pct"/>
                  <w:hideMark/>
                </w:tcPr>
                <w:p w:rsidR="008A4286" w:rsidRPr="008C2654" w:rsidRDefault="008A4286" w:rsidP="008C2654">
                  <w:pPr>
                    <w:jc w:val="both"/>
                    <w:rPr>
                      <w:rFonts w:ascii="Times New Roman" w:hAnsi="Times New Roman" w:cs="Times New Roman"/>
                      <w:sz w:val="24"/>
                      <w:szCs w:val="24"/>
                    </w:rPr>
                  </w:pPr>
                  <w:r w:rsidRPr="008C2654">
                    <w:rPr>
                      <w:rFonts w:ascii="Times New Roman" w:hAnsi="Times New Roman" w:cs="Times New Roman"/>
                      <w:noProof/>
                      <w:sz w:val="24"/>
                      <w:szCs w:val="24"/>
                      <w:lang w:eastAsia="ru-RU"/>
                    </w:rPr>
                    <w:drawing>
                      <wp:inline distT="0" distB="0" distL="0" distR="0" wp14:anchorId="4418BFA4" wp14:editId="047CDB49">
                        <wp:extent cx="3190875" cy="181927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8A4286" w:rsidRPr="008C2654" w:rsidRDefault="008A4286" w:rsidP="008C2654">
            <w:pPr>
              <w:jc w:val="both"/>
              <w:rPr>
                <w:rFonts w:ascii="Times New Roman" w:hAnsi="Times New Roman" w:cs="Times New Roman"/>
                <w:sz w:val="24"/>
                <w:szCs w:val="24"/>
              </w:rPr>
            </w:pPr>
          </w:p>
        </w:tc>
        <w:tc>
          <w:tcPr>
            <w:tcW w:w="97" w:type="pct"/>
          </w:tcPr>
          <w:p w:rsidR="008A4286" w:rsidRPr="008C2654" w:rsidRDefault="008A4286" w:rsidP="008C2654">
            <w:pPr>
              <w:jc w:val="both"/>
              <w:rPr>
                <w:rFonts w:ascii="Times New Roman" w:hAnsi="Times New Roman" w:cs="Times New Roman"/>
                <w:sz w:val="24"/>
                <w:szCs w:val="24"/>
              </w:rPr>
            </w:pPr>
          </w:p>
        </w:tc>
      </w:tr>
    </w:tbl>
    <w:bookmarkEnd w:id="0"/>
    <w:bookmarkEnd w:id="1"/>
    <w:p w:rsidR="008A4286" w:rsidRPr="008C2654" w:rsidRDefault="005E6738" w:rsidP="008C2654">
      <w:pPr>
        <w:pStyle w:val="a7"/>
        <w:ind w:left="0"/>
        <w:jc w:val="both"/>
        <w:rPr>
          <w:lang w:val="ky-KG"/>
        </w:rPr>
      </w:pPr>
      <w:r w:rsidRPr="008C2654">
        <w:rPr>
          <w:lang w:val="ky-KG"/>
        </w:rPr>
        <w:t>Мындан тышкары Кыргыз Республикасынын эл жана турак-жайды каттоого карата даярдык тууралуу; 2020-жылга карата малдын жана үй канаттууларын каттоонун жыйынтыгы тууралуу; калктын ишеним индекси тууралуу; 2019-жылында билим берүү тармагындагы тенденциялар тууралуу маалымат берилет.</w:t>
      </w:r>
    </w:p>
    <w:p w:rsidR="008A4286" w:rsidRPr="008C2654" w:rsidRDefault="008A4286" w:rsidP="008C2654">
      <w:pPr>
        <w:spacing w:before="240" w:after="0" w:line="240" w:lineRule="auto"/>
        <w:jc w:val="both"/>
        <w:rPr>
          <w:rFonts w:ascii="Times New Roman" w:hAnsi="Times New Roman" w:cs="Times New Roman"/>
          <w:b/>
          <w:bCs/>
          <w:i/>
          <w:iCs/>
          <w:sz w:val="24"/>
          <w:szCs w:val="24"/>
        </w:rPr>
      </w:pPr>
      <w:r w:rsidRPr="008C2654">
        <w:rPr>
          <w:rFonts w:ascii="Times New Roman" w:hAnsi="Times New Roman" w:cs="Times New Roman"/>
          <w:sz w:val="24"/>
          <w:szCs w:val="24"/>
        </w:rPr>
        <w:t>****</w:t>
      </w:r>
    </w:p>
    <w:p w:rsidR="005E6738" w:rsidRPr="008C2654" w:rsidRDefault="005E6738" w:rsidP="008C2654">
      <w:pPr>
        <w:ind w:right="-1"/>
        <w:jc w:val="both"/>
        <w:rPr>
          <w:rFonts w:ascii="Times New Roman" w:hAnsi="Times New Roman" w:cs="Times New Roman"/>
          <w:sz w:val="24"/>
          <w:szCs w:val="24"/>
          <w:lang w:val="ky-KG"/>
        </w:rPr>
      </w:pPr>
      <w:r w:rsidRPr="008C2654">
        <w:rPr>
          <w:rFonts w:ascii="Times New Roman" w:hAnsi="Times New Roman" w:cs="Times New Roman"/>
          <w:sz w:val="24"/>
          <w:szCs w:val="24"/>
          <w:lang w:val="ky-KG"/>
        </w:rPr>
        <w:t xml:space="preserve">КР Улуттук маалыматтык-статистикалык системасы өлкөнүн бирден бир маанилүү мамлекеттик маалыматтык системасы катары рынок доорунун заманбап талаптарына жооп берет. Мамлекеттик бийлик органдарын жана коомчулукту республикадагы социалдык, экономикалык, демографиялык жана экологиялык абал боюнча зарыл болгон маалыматтар менен камсыз кылып турат. Жалпыга маалымдоо каражаттарында, илимий иштерде, маалымат тармактарында таратууда, кагаз, магниттик алып жүрүүлөрдө жана башка маалымат алып жүрүүчү жабдыктарында колдонуучулар статистикалык маалыматтарды пайдаланууда алардын булагына шилтеме берүүгө милдеттүү. («Мамлекеттик статистика жөнүндөгү» мыйзамдын 17-беренеси). </w:t>
      </w:r>
    </w:p>
    <w:p w:rsidR="008C2654" w:rsidRPr="008C2654" w:rsidRDefault="008C2654" w:rsidP="008C2654">
      <w:pPr>
        <w:pStyle w:val="a5"/>
        <w:tabs>
          <w:tab w:val="left" w:pos="270"/>
        </w:tabs>
        <w:spacing w:before="120"/>
        <w:jc w:val="both"/>
        <w:rPr>
          <w:rFonts w:ascii="Times New Roman" w:hAnsi="Times New Roman" w:cs="Times New Roman"/>
          <w:sz w:val="24"/>
          <w:szCs w:val="24"/>
          <w:lang w:val="ky-KG"/>
        </w:rPr>
      </w:pPr>
      <w:r w:rsidRPr="008C2654">
        <w:rPr>
          <w:rFonts w:ascii="Times New Roman" w:hAnsi="Times New Roman" w:cs="Times New Roman"/>
          <w:b/>
          <w:sz w:val="24"/>
          <w:szCs w:val="24"/>
          <w:lang w:val="ky-KG"/>
        </w:rPr>
        <w:t xml:space="preserve">Дагы толук маалымат алуу жана интервью уюштуруу үчүн басма сөз катчысы Асель Акматалиевага кайрылсаңыздар болот. </w:t>
      </w:r>
      <w:r w:rsidRPr="008C2654">
        <w:rPr>
          <w:rFonts w:ascii="Times New Roman" w:hAnsi="Times New Roman" w:cs="Times New Roman"/>
          <w:sz w:val="24"/>
          <w:szCs w:val="24"/>
          <w:lang w:val="ky-KG"/>
        </w:rPr>
        <w:t xml:space="preserve">тел.625747, e-mail: </w:t>
      </w:r>
      <w:r w:rsidRPr="008C2654">
        <w:rPr>
          <w:rFonts w:ascii="Times New Roman" w:hAnsi="Times New Roman" w:cs="Times New Roman"/>
          <w:sz w:val="24"/>
          <w:szCs w:val="24"/>
          <w:lang w:val="ky-KG"/>
        </w:rPr>
        <w:fldChar w:fldCharType="begin"/>
      </w:r>
      <w:r w:rsidRPr="008C2654">
        <w:rPr>
          <w:rFonts w:ascii="Times New Roman" w:hAnsi="Times New Roman" w:cs="Times New Roman"/>
          <w:sz w:val="24"/>
          <w:szCs w:val="24"/>
          <w:lang w:val="ky-KG"/>
        </w:rPr>
        <w:instrText xml:space="preserve"> HYPERLINK "mailto:smi_nsc@stat.kg" </w:instrText>
      </w:r>
      <w:r w:rsidRPr="008C2654">
        <w:rPr>
          <w:rFonts w:ascii="Times New Roman" w:hAnsi="Times New Roman" w:cs="Times New Roman"/>
          <w:sz w:val="24"/>
          <w:szCs w:val="24"/>
          <w:lang w:val="ky-KG"/>
        </w:rPr>
        <w:fldChar w:fldCharType="separate"/>
      </w:r>
      <w:r w:rsidRPr="008C2654">
        <w:rPr>
          <w:rStyle w:val="a3"/>
          <w:sz w:val="24"/>
          <w:szCs w:val="24"/>
          <w:lang w:val="ky-KG"/>
        </w:rPr>
        <w:t>smi_nsc@stat.kg</w:t>
      </w:r>
      <w:r w:rsidRPr="008C2654">
        <w:rPr>
          <w:rFonts w:ascii="Times New Roman" w:hAnsi="Times New Roman" w:cs="Times New Roman"/>
          <w:sz w:val="24"/>
          <w:szCs w:val="24"/>
          <w:lang w:val="ky-KG"/>
        </w:rPr>
        <w:fldChar w:fldCharType="end"/>
      </w:r>
    </w:p>
    <w:p w:rsidR="008A4286" w:rsidRDefault="008A4286" w:rsidP="008A4286">
      <w:pPr>
        <w:shd w:val="clear" w:color="auto" w:fill="FFFFFF"/>
        <w:spacing w:after="0" w:line="240" w:lineRule="auto"/>
        <w:jc w:val="both"/>
        <w:rPr>
          <w:rFonts w:ascii="Times New Roman" w:hAnsi="Times New Roman" w:cs="Times New Roman"/>
          <w:color w:val="000000"/>
          <w:lang w:val="ky-KG" w:eastAsia="ru-RU"/>
        </w:rPr>
      </w:pPr>
    </w:p>
    <w:tbl>
      <w:tblPr>
        <w:tblW w:w="5120" w:type="pct"/>
        <w:tblLook w:val="01E0" w:firstRow="1" w:lastRow="1" w:firstColumn="1" w:lastColumn="1" w:noHBand="0" w:noVBand="0"/>
      </w:tblPr>
      <w:tblGrid>
        <w:gridCol w:w="1906"/>
        <w:gridCol w:w="2044"/>
        <w:gridCol w:w="1033"/>
        <w:gridCol w:w="1315"/>
        <w:gridCol w:w="1656"/>
        <w:gridCol w:w="1626"/>
      </w:tblGrid>
      <w:tr w:rsidR="008A4286" w:rsidTr="008256CB">
        <w:tc>
          <w:tcPr>
            <w:tcW w:w="1006" w:type="pct"/>
            <w:vAlign w:val="bottom"/>
            <w:hideMark/>
          </w:tcPr>
          <w:p w:rsidR="008A4286" w:rsidRDefault="008A4286" w:rsidP="008C2654">
            <w:pPr>
              <w:spacing w:before="240" w:after="0" w:line="240" w:lineRule="auto"/>
              <w:rPr>
                <w:rFonts w:ascii="Times New Roman" w:hAnsi="Times New Roman" w:cs="Times New Roman"/>
                <w:b/>
                <w:bCs/>
              </w:rPr>
            </w:pPr>
            <w:r>
              <w:rPr>
                <w:rFonts w:ascii="Times New Roman" w:hAnsi="Times New Roman" w:cs="Times New Roman"/>
                <w:b/>
                <w:bCs/>
              </w:rPr>
              <w:t>Мы доступны</w:t>
            </w:r>
            <w:r>
              <w:rPr>
                <w:rFonts w:ascii="Times New Roman" w:hAnsi="Times New Roman" w:cs="Times New Roman"/>
                <w:color w:val="333333"/>
              </w:rPr>
              <w:t>:</w:t>
            </w:r>
          </w:p>
        </w:tc>
        <w:tc>
          <w:tcPr>
            <w:tcW w:w="1077" w:type="pct"/>
            <w:vAlign w:val="bottom"/>
            <w:hideMark/>
          </w:tcPr>
          <w:p w:rsidR="008A4286" w:rsidRDefault="008A4286" w:rsidP="008256CB">
            <w:pPr>
              <w:spacing w:after="0" w:line="240" w:lineRule="auto"/>
              <w:jc w:val="center"/>
              <w:rPr>
                <w:rFonts w:ascii="Times New Roman" w:hAnsi="Times New Roman" w:cs="Times New Roman"/>
                <w:b/>
                <w:bCs/>
                <w:color w:val="1F4E79"/>
              </w:rPr>
            </w:pPr>
            <w:hyperlink r:id="rId11" w:history="1">
              <w:r>
                <w:rPr>
                  <w:rStyle w:val="a3"/>
                  <w:color w:val="1F4E79"/>
                </w:rPr>
                <w:t>www.stat.kg</w:t>
              </w:r>
            </w:hyperlink>
            <w:r>
              <w:rPr>
                <w:rFonts w:ascii="Times New Roman" w:hAnsi="Times New Roman" w:cs="Times New Roman"/>
                <w:color w:val="1F4E79"/>
              </w:rPr>
              <w:t>|</w:t>
            </w:r>
          </w:p>
        </w:tc>
        <w:tc>
          <w:tcPr>
            <w:tcW w:w="523" w:type="pct"/>
            <w:vAlign w:val="bottom"/>
            <w:hideMark/>
          </w:tcPr>
          <w:p w:rsidR="008A4286" w:rsidRDefault="008A4286" w:rsidP="008256CB">
            <w:pPr>
              <w:spacing w:after="0" w:line="240" w:lineRule="auto"/>
              <w:jc w:val="center"/>
              <w:rPr>
                <w:rFonts w:ascii="Times New Roman" w:hAnsi="Times New Roman" w:cs="Times New Roman"/>
                <w:b/>
                <w:bCs/>
                <w:color w:val="1F4E79"/>
              </w:rPr>
            </w:pPr>
            <w:hyperlink r:id="rId12" w:history="1">
              <w:proofErr w:type="spellStart"/>
              <w:r>
                <w:rPr>
                  <w:rStyle w:val="a3"/>
                  <w:color w:val="1F4E79"/>
                  <w:sz w:val="21"/>
                  <w:szCs w:val="21"/>
                  <w:shd w:val="clear" w:color="auto" w:fill="FFFFFF"/>
                </w:rPr>
                <w:t>Facebook</w:t>
              </w:r>
              <w:proofErr w:type="spellEnd"/>
            </w:hyperlink>
          </w:p>
        </w:tc>
        <w:tc>
          <w:tcPr>
            <w:tcW w:w="696" w:type="pct"/>
            <w:vAlign w:val="bottom"/>
            <w:hideMark/>
          </w:tcPr>
          <w:p w:rsidR="008A4286" w:rsidRDefault="008A4286" w:rsidP="008256CB">
            <w:pPr>
              <w:spacing w:after="0" w:line="240" w:lineRule="auto"/>
              <w:jc w:val="center"/>
              <w:rPr>
                <w:rFonts w:ascii="Times New Roman" w:hAnsi="Times New Roman" w:cs="Times New Roman"/>
                <w:b/>
                <w:bCs/>
              </w:rPr>
            </w:pPr>
            <w:r>
              <w:rPr>
                <w:rFonts w:ascii="Times New Roman" w:hAnsi="Times New Roman" w:cs="Times New Roman"/>
              </w:rPr>
              <w:t>тел.625747</w:t>
            </w:r>
          </w:p>
        </w:tc>
        <w:tc>
          <w:tcPr>
            <w:tcW w:w="869" w:type="pct"/>
            <w:vAlign w:val="bottom"/>
            <w:hideMark/>
          </w:tcPr>
          <w:p w:rsidR="008A4286" w:rsidRDefault="008A4286" w:rsidP="008256CB">
            <w:pPr>
              <w:spacing w:after="0" w:line="240" w:lineRule="auto"/>
              <w:jc w:val="center"/>
              <w:rPr>
                <w:rFonts w:ascii="Times New Roman" w:hAnsi="Times New Roman" w:cs="Times New Roman"/>
                <w:b/>
                <w:bCs/>
              </w:rPr>
            </w:pPr>
            <w:r>
              <w:rPr>
                <w:noProof/>
                <w:lang w:eastAsia="ru-RU"/>
              </w:rPr>
              <w:drawing>
                <wp:inline distT="0" distB="0" distL="0" distR="0" wp14:anchorId="5349843A" wp14:editId="466292C4">
                  <wp:extent cx="914400" cy="276225"/>
                  <wp:effectExtent l="0" t="0" r="0" b="9525"/>
                  <wp:docPr id="2" name="Рисунок 2" descr="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oogle play"/>
                          <pic:cNvPicPr>
                            <a:picLocks noChangeAspect="1" noChangeArrowheads="1"/>
                          </pic:cNvPicPr>
                        </pic:nvPicPr>
                        <pic:blipFill>
                          <a:blip r:embed="rId13" cstate="print">
                            <a:extLst>
                              <a:ext uri="{28A0092B-C50C-407E-A947-70E740481C1C}">
                                <a14:useLocalDpi xmlns:a14="http://schemas.microsoft.com/office/drawing/2010/main" val="0"/>
                              </a:ext>
                            </a:extLst>
                          </a:blip>
                          <a:srcRect l="6004" t="14697" r="6064" b="17290"/>
                          <a:stretch>
                            <a:fillRect/>
                          </a:stretch>
                        </pic:blipFill>
                        <pic:spPr bwMode="auto">
                          <a:xfrm>
                            <a:off x="0" y="0"/>
                            <a:ext cx="914400" cy="276225"/>
                          </a:xfrm>
                          <a:prstGeom prst="rect">
                            <a:avLst/>
                          </a:prstGeom>
                          <a:noFill/>
                          <a:ln>
                            <a:noFill/>
                          </a:ln>
                        </pic:spPr>
                      </pic:pic>
                    </a:graphicData>
                  </a:graphic>
                </wp:inline>
              </w:drawing>
            </w:r>
          </w:p>
        </w:tc>
        <w:tc>
          <w:tcPr>
            <w:tcW w:w="829" w:type="pct"/>
            <w:vAlign w:val="bottom"/>
            <w:hideMark/>
          </w:tcPr>
          <w:p w:rsidR="008A4286" w:rsidRDefault="008A4286" w:rsidP="008256CB">
            <w:pPr>
              <w:spacing w:after="0" w:line="240" w:lineRule="auto"/>
              <w:jc w:val="center"/>
              <w:rPr>
                <w:rFonts w:ascii="Times New Roman" w:hAnsi="Times New Roman" w:cs="Times New Roman"/>
                <w:b/>
                <w:bCs/>
              </w:rPr>
            </w:pPr>
            <w:r>
              <w:rPr>
                <w:noProof/>
                <w:lang w:eastAsia="ru-RU"/>
              </w:rPr>
              <w:drawing>
                <wp:inline distT="0" distB="0" distL="0" distR="0" wp14:anchorId="4EA5400B" wp14:editId="3496D3D8">
                  <wp:extent cx="895350" cy="266700"/>
                  <wp:effectExtent l="0" t="0" r="0" b="0"/>
                  <wp:docPr id="1" name="Рисунок 1" descr="apple_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pple_download"/>
                          <pic:cNvPicPr>
                            <a:picLocks noChangeAspect="1" noChangeArrowheads="1"/>
                          </pic:cNvPicPr>
                        </pic:nvPicPr>
                        <pic:blipFill>
                          <a:blip r:embed="rId14" cstate="print">
                            <a:extLst>
                              <a:ext uri="{28A0092B-C50C-407E-A947-70E740481C1C}">
                                <a14:useLocalDpi xmlns:a14="http://schemas.microsoft.com/office/drawing/2010/main" val="0"/>
                              </a:ext>
                            </a:extLst>
                          </a:blip>
                          <a:srcRect t="8525" b="9769"/>
                          <a:stretch>
                            <a:fillRect/>
                          </a:stretch>
                        </pic:blipFill>
                        <pic:spPr bwMode="auto">
                          <a:xfrm>
                            <a:off x="0" y="0"/>
                            <a:ext cx="895350" cy="266700"/>
                          </a:xfrm>
                          <a:prstGeom prst="rect">
                            <a:avLst/>
                          </a:prstGeom>
                          <a:noFill/>
                          <a:ln>
                            <a:noFill/>
                          </a:ln>
                        </pic:spPr>
                      </pic:pic>
                    </a:graphicData>
                  </a:graphic>
                </wp:inline>
              </w:drawing>
            </w:r>
          </w:p>
        </w:tc>
      </w:tr>
    </w:tbl>
    <w:p w:rsidR="00D35086" w:rsidRDefault="00D35086"/>
    <w:sectPr w:rsidR="00D35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95" w:rsidRDefault="00552536" w:rsidP="00BF3BD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11795" w:rsidRDefault="0055253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95" w:rsidRDefault="00552536" w:rsidP="00053A98">
    <w:pPr>
      <w:pStyle w:val="a8"/>
      <w:tabs>
        <w:tab w:val="clear" w:pos="4677"/>
        <w:tab w:val="clear" w:pos="9355"/>
        <w:tab w:val="center" w:pos="4819"/>
        <w:tab w:val="right" w:pos="9638"/>
      </w:tabs>
    </w:pPr>
    <w:r w:rsidRPr="007E6D79">
      <w:rPr>
        <w:color w:val="FFFFFF"/>
      </w:rPr>
      <w:t xml:space="preserve"> [Введите текст]</w:t>
    </w:r>
    <w:proofErr w:type="gramStart"/>
    <w:r w:rsidRPr="007E6D79">
      <w:rPr>
        <w:color w:val="FFFFFF"/>
      </w:rPr>
      <w:tab/>
      <w:t>[</w:t>
    </w:r>
    <w:proofErr w:type="gramEnd"/>
    <w:r w:rsidRPr="007E6D79">
      <w:rPr>
        <w:color w:val="FFFFFF"/>
      </w:rPr>
      <w:t>Введите</w:t>
    </w:r>
    <w:r w:rsidRPr="007E6D79">
      <w:rPr>
        <w:color w:val="FFFFFF"/>
      </w:rPr>
      <w:t xml:space="preserve"> текст]</w:t>
    </w:r>
    <w:r w:rsidRPr="007E6D79">
      <w:rPr>
        <w:color w:val="FFFFFF"/>
      </w:rPr>
      <w:tab/>
      <w:t>[Введите текст]</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86"/>
    <w:rsid w:val="00032FB4"/>
    <w:rsid w:val="000A48DC"/>
    <w:rsid w:val="001D1C20"/>
    <w:rsid w:val="00204573"/>
    <w:rsid w:val="00261E47"/>
    <w:rsid w:val="003248B3"/>
    <w:rsid w:val="00484386"/>
    <w:rsid w:val="00552536"/>
    <w:rsid w:val="005E6738"/>
    <w:rsid w:val="005F3319"/>
    <w:rsid w:val="00614840"/>
    <w:rsid w:val="00762B44"/>
    <w:rsid w:val="007B172C"/>
    <w:rsid w:val="007E0CA5"/>
    <w:rsid w:val="008820CC"/>
    <w:rsid w:val="008A2E4C"/>
    <w:rsid w:val="008A4286"/>
    <w:rsid w:val="008A7732"/>
    <w:rsid w:val="008C2654"/>
    <w:rsid w:val="008C396A"/>
    <w:rsid w:val="008D0CF1"/>
    <w:rsid w:val="009C1141"/>
    <w:rsid w:val="009D47B1"/>
    <w:rsid w:val="00AB1220"/>
    <w:rsid w:val="00B02A2C"/>
    <w:rsid w:val="00C15BA5"/>
    <w:rsid w:val="00C67D45"/>
    <w:rsid w:val="00C85BEB"/>
    <w:rsid w:val="00C966FD"/>
    <w:rsid w:val="00CC5071"/>
    <w:rsid w:val="00D35086"/>
    <w:rsid w:val="00D74FBB"/>
    <w:rsid w:val="00DA1D36"/>
    <w:rsid w:val="00DB0E0F"/>
    <w:rsid w:val="00DF2B3A"/>
    <w:rsid w:val="00DF4734"/>
    <w:rsid w:val="00F3422B"/>
    <w:rsid w:val="00F521B6"/>
    <w:rsid w:val="00F91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CE23D-625C-43EA-8E2D-87D51947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286"/>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A4286"/>
    <w:rPr>
      <w:rFonts w:ascii="Times New Roman" w:hAnsi="Times New Roman" w:cs="Times New Roman" w:hint="default"/>
      <w:color w:val="0000FF"/>
      <w:u w:val="single"/>
    </w:rPr>
  </w:style>
  <w:style w:type="paragraph" w:styleId="a4">
    <w:name w:val="Normal (Web)"/>
    <w:basedOn w:val="a"/>
    <w:semiHidden/>
    <w:unhideWhenUsed/>
    <w:rsid w:val="008A4286"/>
    <w:pPr>
      <w:spacing w:before="100" w:beforeAutospacing="1" w:after="100" w:afterAutospacing="1" w:line="240" w:lineRule="auto"/>
    </w:pPr>
    <w:rPr>
      <w:rFonts w:eastAsia="Calibri"/>
      <w:sz w:val="24"/>
      <w:szCs w:val="24"/>
      <w:lang w:eastAsia="ru-RU"/>
    </w:rPr>
  </w:style>
  <w:style w:type="paragraph" w:styleId="a5">
    <w:name w:val="Plain Text"/>
    <w:basedOn w:val="a"/>
    <w:link w:val="a6"/>
    <w:uiPriority w:val="99"/>
    <w:unhideWhenUsed/>
    <w:rsid w:val="008A4286"/>
    <w:pPr>
      <w:spacing w:after="0" w:line="240" w:lineRule="auto"/>
    </w:pPr>
    <w:rPr>
      <w:rFonts w:ascii="Consolas" w:hAnsi="Consolas" w:cs="Consolas"/>
      <w:sz w:val="21"/>
      <w:szCs w:val="21"/>
      <w:lang w:val="en-US"/>
    </w:rPr>
  </w:style>
  <w:style w:type="character" w:customStyle="1" w:styleId="a6">
    <w:name w:val="Текст Знак"/>
    <w:basedOn w:val="a0"/>
    <w:link w:val="a5"/>
    <w:uiPriority w:val="99"/>
    <w:rsid w:val="008A4286"/>
    <w:rPr>
      <w:rFonts w:ascii="Consolas" w:eastAsia="Times New Roman" w:hAnsi="Consolas" w:cs="Consolas"/>
      <w:sz w:val="21"/>
      <w:szCs w:val="21"/>
      <w:lang w:val="en-US"/>
    </w:rPr>
  </w:style>
  <w:style w:type="paragraph" w:styleId="a7">
    <w:name w:val="List Paragraph"/>
    <w:basedOn w:val="a"/>
    <w:uiPriority w:val="34"/>
    <w:qFormat/>
    <w:rsid w:val="008A4286"/>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8A428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8">
    <w:name w:val="footer"/>
    <w:basedOn w:val="a"/>
    <w:link w:val="a9"/>
    <w:rsid w:val="008A7732"/>
    <w:pPr>
      <w:tabs>
        <w:tab w:val="center" w:pos="4677"/>
        <w:tab w:val="right" w:pos="9355"/>
      </w:tabs>
      <w:spacing w:after="0" w:line="240" w:lineRule="auto"/>
    </w:pPr>
    <w:rPr>
      <w:rFonts w:ascii="Times New Roman" w:hAnsi="Times New Roman" w:cs="Times New Roman"/>
      <w:sz w:val="20"/>
      <w:szCs w:val="20"/>
      <w:lang w:eastAsia="ru-RU"/>
    </w:rPr>
  </w:style>
  <w:style w:type="character" w:customStyle="1" w:styleId="a9">
    <w:name w:val="Нижний колонтитул Знак"/>
    <w:basedOn w:val="a0"/>
    <w:link w:val="a8"/>
    <w:rsid w:val="008A7732"/>
    <w:rPr>
      <w:rFonts w:ascii="Times New Roman" w:eastAsia="Times New Roman" w:hAnsi="Times New Roman" w:cs="Times New Roman"/>
      <w:sz w:val="20"/>
      <w:szCs w:val="20"/>
      <w:lang w:eastAsia="ru-RU"/>
    </w:rPr>
  </w:style>
  <w:style w:type="character" w:styleId="aa">
    <w:name w:val="page number"/>
    <w:basedOn w:val="a0"/>
    <w:rsid w:val="008A7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facebook.com/statcom.k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hyperlink" Target="http://www.stat.kg/" TargetMode="Externa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image" Target="media/image1.jpeg"/><Relationship Id="rId9" Type="http://schemas.openxmlformats.org/officeDocument/2006/relationships/chart" Target="charts/chart3.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5.3521126760563378E-2"/>
          <c:y val="9.0909090909090912E-2"/>
          <c:w val="0.94929577464788728"/>
          <c:h val="0.75935828877005351"/>
        </c:manualLayout>
      </c:layout>
      <c:barChart>
        <c:barDir val="col"/>
        <c:grouping val="clustered"/>
        <c:varyColors val="0"/>
        <c:ser>
          <c:idx val="0"/>
          <c:order val="0"/>
          <c:tx>
            <c:strRef>
              <c:f>Sheet1!$A$2</c:f>
              <c:strCache>
                <c:ptCount val="1"/>
              </c:strCache>
            </c:strRef>
          </c:tx>
          <c:spPr>
            <a:solidFill>
              <a:srgbClr val="9999FF"/>
            </a:solidFill>
            <a:ln w="12657">
              <a:solidFill>
                <a:srgbClr val="000000"/>
              </a:solidFill>
              <a:prstDash val="solid"/>
            </a:ln>
          </c:spPr>
          <c:invertIfNegative val="0"/>
          <c:dPt>
            <c:idx val="12"/>
            <c:invertIfNegative val="0"/>
            <c:bubble3D val="0"/>
            <c:spPr>
              <a:solidFill>
                <a:srgbClr val="0000FF"/>
              </a:solidFill>
              <a:ln w="12657">
                <a:solidFill>
                  <a:srgbClr val="000000"/>
                </a:solidFill>
                <a:prstDash val="solid"/>
              </a:ln>
            </c:spPr>
          </c:dPt>
          <c:dPt>
            <c:idx val="13"/>
            <c:invertIfNegative val="0"/>
            <c:bubble3D val="0"/>
            <c:spPr>
              <a:solidFill>
                <a:srgbClr val="0000FF"/>
              </a:solidFill>
              <a:ln w="12657">
                <a:solidFill>
                  <a:srgbClr val="000000"/>
                </a:solidFill>
                <a:prstDash val="solid"/>
              </a:ln>
            </c:spPr>
          </c:dPt>
          <c:dPt>
            <c:idx val="14"/>
            <c:invertIfNegative val="0"/>
            <c:bubble3D val="0"/>
            <c:spPr>
              <a:solidFill>
                <a:srgbClr val="0000FF"/>
              </a:solidFill>
              <a:ln w="12657">
                <a:solidFill>
                  <a:srgbClr val="000000"/>
                </a:solidFill>
                <a:prstDash val="solid"/>
              </a:ln>
            </c:spPr>
          </c:dPt>
          <c:dPt>
            <c:idx val="15"/>
            <c:invertIfNegative val="0"/>
            <c:bubble3D val="0"/>
            <c:spPr>
              <a:solidFill>
                <a:srgbClr val="0000FF"/>
              </a:solidFill>
              <a:ln w="12657">
                <a:solidFill>
                  <a:srgbClr val="000000"/>
                </a:solidFill>
                <a:prstDash val="solid"/>
              </a:ln>
            </c:spPr>
          </c:dPt>
          <c:dPt>
            <c:idx val="16"/>
            <c:invertIfNegative val="0"/>
            <c:bubble3D val="0"/>
            <c:spPr>
              <a:solidFill>
                <a:srgbClr val="0000FF"/>
              </a:solidFill>
              <a:ln w="12657">
                <a:solidFill>
                  <a:srgbClr val="000000"/>
                </a:solidFill>
                <a:prstDash val="solid"/>
              </a:ln>
            </c:spPr>
          </c:dPt>
          <c:dPt>
            <c:idx val="17"/>
            <c:invertIfNegative val="0"/>
            <c:bubble3D val="0"/>
            <c:spPr>
              <a:solidFill>
                <a:srgbClr val="0000FF"/>
              </a:solidFill>
              <a:ln w="12657">
                <a:solidFill>
                  <a:srgbClr val="000000"/>
                </a:solidFill>
                <a:prstDash val="solid"/>
              </a:ln>
            </c:spPr>
          </c:dPt>
          <c:dPt>
            <c:idx val="18"/>
            <c:invertIfNegative val="0"/>
            <c:bubble3D val="0"/>
            <c:spPr>
              <a:solidFill>
                <a:srgbClr val="0000FF"/>
              </a:solidFill>
              <a:ln w="12657">
                <a:solidFill>
                  <a:srgbClr val="000000"/>
                </a:solidFill>
                <a:prstDash val="solid"/>
              </a:ln>
            </c:spPr>
          </c:dPt>
          <c:dPt>
            <c:idx val="19"/>
            <c:invertIfNegative val="0"/>
            <c:bubble3D val="0"/>
            <c:spPr>
              <a:solidFill>
                <a:srgbClr val="0000FF"/>
              </a:solidFill>
              <a:ln w="12657">
                <a:solidFill>
                  <a:srgbClr val="000000"/>
                </a:solidFill>
                <a:prstDash val="solid"/>
              </a:ln>
            </c:spPr>
          </c:dPt>
          <c:dPt>
            <c:idx val="20"/>
            <c:invertIfNegative val="0"/>
            <c:bubble3D val="0"/>
            <c:spPr>
              <a:solidFill>
                <a:srgbClr val="0000FF"/>
              </a:solidFill>
              <a:ln w="12657">
                <a:solidFill>
                  <a:srgbClr val="000000"/>
                </a:solidFill>
                <a:prstDash val="solid"/>
              </a:ln>
            </c:spPr>
          </c:dPt>
          <c:dPt>
            <c:idx val="21"/>
            <c:invertIfNegative val="0"/>
            <c:bubble3D val="0"/>
            <c:spPr>
              <a:solidFill>
                <a:srgbClr val="0000FF"/>
              </a:solidFill>
              <a:ln w="12657">
                <a:solidFill>
                  <a:srgbClr val="000000"/>
                </a:solidFill>
                <a:prstDash val="solid"/>
              </a:ln>
            </c:spPr>
          </c:dPt>
          <c:dPt>
            <c:idx val="22"/>
            <c:invertIfNegative val="0"/>
            <c:bubble3D val="0"/>
            <c:spPr>
              <a:solidFill>
                <a:srgbClr val="0000FF"/>
              </a:solidFill>
              <a:ln w="12657">
                <a:solidFill>
                  <a:srgbClr val="000000"/>
                </a:solidFill>
                <a:prstDash val="solid"/>
              </a:ln>
            </c:spPr>
          </c:dPt>
          <c:dPt>
            <c:idx val="23"/>
            <c:invertIfNegative val="0"/>
            <c:bubble3D val="0"/>
            <c:spPr>
              <a:solidFill>
                <a:srgbClr val="0000FF"/>
              </a:solidFill>
              <a:ln w="12657">
                <a:solidFill>
                  <a:srgbClr val="000000"/>
                </a:solidFill>
                <a:prstDash val="solid"/>
              </a:ln>
            </c:spPr>
          </c:dPt>
          <c:dLbls>
            <c:spPr>
              <a:noFill/>
              <a:ln w="25385">
                <a:noFill/>
              </a:ln>
            </c:spPr>
            <c:txPr>
              <a:bodyPr/>
              <a:lstStyle/>
              <a:p>
                <a:pPr>
                  <a:defRPr sz="42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3"/>
                <c:pt idx="0">
                  <c:v>I</c:v>
                </c:pt>
                <c:pt idx="1">
                  <c:v>I-II</c:v>
                </c:pt>
                <c:pt idx="2">
                  <c:v>I-III</c:v>
                </c:pt>
                <c:pt idx="3">
                  <c:v>I-IV</c:v>
                </c:pt>
                <c:pt idx="4">
                  <c:v>I-V</c:v>
                </c:pt>
                <c:pt idx="5">
                  <c:v>I-VI</c:v>
                </c:pt>
                <c:pt idx="6">
                  <c:v>I-VII</c:v>
                </c:pt>
                <c:pt idx="7">
                  <c:v>I-VIII</c:v>
                </c:pt>
                <c:pt idx="8">
                  <c:v>I-IX</c:v>
                </c:pt>
                <c:pt idx="9">
                  <c:v>I-X</c:v>
                </c:pt>
                <c:pt idx="10">
                  <c:v>I-XI</c:v>
                </c:pt>
                <c:pt idx="11">
                  <c:v>I-XII</c:v>
                </c:pt>
                <c:pt idx="12">
                  <c:v>I</c:v>
                </c:pt>
              </c:strCache>
            </c:strRef>
          </c:cat>
          <c:val>
            <c:numRef>
              <c:f>Sheet1!$B$2:$N$2</c:f>
              <c:numCache>
                <c:formatCode>General</c:formatCode>
                <c:ptCount val="13"/>
                <c:pt idx="0">
                  <c:v>106.4</c:v>
                </c:pt>
                <c:pt idx="1">
                  <c:v>104.7</c:v>
                </c:pt>
                <c:pt idx="2">
                  <c:v>105.2</c:v>
                </c:pt>
                <c:pt idx="3">
                  <c:v>105.5</c:v>
                </c:pt>
                <c:pt idx="4">
                  <c:v>105.6</c:v>
                </c:pt>
                <c:pt idx="5">
                  <c:v>106.4</c:v>
                </c:pt>
                <c:pt idx="6">
                  <c:v>107</c:v>
                </c:pt>
                <c:pt idx="7">
                  <c:v>106.2</c:v>
                </c:pt>
                <c:pt idx="8">
                  <c:v>106.2</c:v>
                </c:pt>
                <c:pt idx="9">
                  <c:v>105.6</c:v>
                </c:pt>
                <c:pt idx="10">
                  <c:v>104.9</c:v>
                </c:pt>
                <c:pt idx="11">
                  <c:v>104.5</c:v>
                </c:pt>
                <c:pt idx="12">
                  <c:v>101.8</c:v>
                </c:pt>
              </c:numCache>
            </c:numRef>
          </c:val>
        </c:ser>
        <c:dLbls>
          <c:showLegendKey val="0"/>
          <c:showVal val="0"/>
          <c:showCatName val="0"/>
          <c:showSerName val="0"/>
          <c:showPercent val="0"/>
          <c:showBubbleSize val="0"/>
        </c:dLbls>
        <c:gapWidth val="150"/>
        <c:axId val="683546920"/>
        <c:axId val="683548880"/>
      </c:barChart>
      <c:catAx>
        <c:axId val="683546920"/>
        <c:scaling>
          <c:orientation val="minMax"/>
        </c:scaling>
        <c:delete val="0"/>
        <c:axPos val="b"/>
        <c:title>
          <c:tx>
            <c:rich>
              <a:bodyPr/>
              <a:lstStyle/>
              <a:p>
                <a:pPr>
                  <a:defRPr sz="999" b="1" i="0" u="none" strike="noStrike" baseline="0">
                    <a:solidFill>
                      <a:srgbClr val="000000"/>
                    </a:solidFill>
                    <a:latin typeface="Arial Cyr"/>
                    <a:ea typeface="Arial Cyr"/>
                    <a:cs typeface="Arial Cyr"/>
                  </a:defRPr>
                </a:pPr>
                <a:r>
                  <a:rPr lang="ru-RU" sz="595" b="1" i="0" u="none" strike="noStrike" baseline="0">
                    <a:solidFill>
                      <a:srgbClr val="000000"/>
                    </a:solidFill>
                    <a:latin typeface="Arial"/>
                    <a:cs typeface="Arial"/>
                  </a:rPr>
                  <a:t>2019                                                                                      2020</a:t>
                </a:r>
              </a:p>
            </c:rich>
          </c:tx>
          <c:layout>
            <c:manualLayout>
              <c:xMode val="edge"/>
              <c:yMode val="edge"/>
              <c:x val="0.33951035781544259"/>
              <c:y val="0.9197860962566845"/>
            </c:manualLayout>
          </c:layout>
          <c:overlay val="0"/>
          <c:spPr>
            <a:noFill/>
            <a:ln w="25315">
              <a:noFill/>
            </a:ln>
          </c:spPr>
        </c:title>
        <c:numFmt formatCode="General" sourceLinked="1"/>
        <c:majorTickMark val="out"/>
        <c:minorTickMark val="none"/>
        <c:tickLblPos val="low"/>
        <c:spPr>
          <a:ln w="3164">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ru-RU"/>
          </a:p>
        </c:txPr>
        <c:crossAx val="683548880"/>
        <c:crossesAt val="100"/>
        <c:auto val="1"/>
        <c:lblAlgn val="ctr"/>
        <c:lblOffset val="50"/>
        <c:tickLblSkip val="1"/>
        <c:tickMarkSkip val="1"/>
        <c:noMultiLvlLbl val="0"/>
      </c:catAx>
      <c:valAx>
        <c:axId val="683548880"/>
        <c:scaling>
          <c:orientation val="minMax"/>
          <c:max val="107"/>
          <c:min val="99"/>
        </c:scaling>
        <c:delete val="0"/>
        <c:axPos val="l"/>
        <c:numFmt formatCode="General" sourceLinked="1"/>
        <c:majorTickMark val="out"/>
        <c:minorTickMark val="none"/>
        <c:tickLblPos val="low"/>
        <c:spPr>
          <a:ln w="3164">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ru-RU"/>
          </a:p>
        </c:txPr>
        <c:crossAx val="683546920"/>
        <c:crosses val="autoZero"/>
        <c:crossBetween val="between"/>
        <c:majorUnit val="1"/>
      </c:valAx>
      <c:spPr>
        <a:solidFill>
          <a:srgbClr val="FFFFFF"/>
        </a:solidFill>
        <a:ln w="25315">
          <a:noFill/>
        </a:ln>
      </c:spPr>
    </c:plotArea>
    <c:plotVisOnly val="1"/>
    <c:dispBlanksAs val="gap"/>
    <c:showDLblsOverMax val="0"/>
  </c:chart>
  <c:spPr>
    <a:noFill/>
    <a:ln>
      <a:noFill/>
    </a:ln>
  </c:spPr>
  <c:txPr>
    <a:bodyPr/>
    <a:lstStyle/>
    <a:p>
      <a:pPr>
        <a:defRPr sz="825" b="0" i="0" u="none" strike="noStrike" baseline="0">
          <a:solidFill>
            <a:srgbClr val="000000"/>
          </a:solidFill>
          <a:latin typeface="Arial"/>
          <a:ea typeface="Arial"/>
          <a:cs typeface="Aria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5.4285714285714284E-2"/>
          <c:y val="6.5217391304347824E-2"/>
          <c:w val="0.94857142857142862"/>
          <c:h val="0.67934782608695654"/>
        </c:manualLayout>
      </c:layout>
      <c:barChart>
        <c:barDir val="col"/>
        <c:grouping val="clustered"/>
        <c:varyColors val="0"/>
        <c:ser>
          <c:idx val="0"/>
          <c:order val="0"/>
          <c:tx>
            <c:strRef>
              <c:f>Sheet1!$A$2</c:f>
              <c:strCache>
                <c:ptCount val="1"/>
              </c:strCache>
            </c:strRef>
          </c:tx>
          <c:spPr>
            <a:solidFill>
              <a:srgbClr val="FFFFCC"/>
            </a:solidFill>
            <a:ln w="11025">
              <a:solidFill>
                <a:srgbClr val="000000"/>
              </a:solidFill>
              <a:prstDash val="solid"/>
            </a:ln>
          </c:spPr>
          <c:invertIfNegative val="0"/>
          <c:dPt>
            <c:idx val="12"/>
            <c:invertIfNegative val="0"/>
            <c:bubble3D val="0"/>
            <c:spPr>
              <a:solidFill>
                <a:srgbClr val="FFFF00"/>
              </a:solidFill>
              <a:ln w="11025">
                <a:solidFill>
                  <a:srgbClr val="000000"/>
                </a:solidFill>
                <a:prstDash val="solid"/>
              </a:ln>
            </c:spPr>
          </c:dPt>
          <c:dPt>
            <c:idx val="13"/>
            <c:invertIfNegative val="0"/>
            <c:bubble3D val="0"/>
            <c:spPr>
              <a:solidFill>
                <a:srgbClr val="FFFF00"/>
              </a:solidFill>
              <a:ln w="11025">
                <a:solidFill>
                  <a:srgbClr val="000000"/>
                </a:solidFill>
                <a:prstDash val="solid"/>
              </a:ln>
            </c:spPr>
          </c:dPt>
          <c:dPt>
            <c:idx val="14"/>
            <c:invertIfNegative val="0"/>
            <c:bubble3D val="0"/>
            <c:spPr>
              <a:solidFill>
                <a:srgbClr val="FFFF00"/>
              </a:solidFill>
              <a:ln w="11025">
                <a:solidFill>
                  <a:srgbClr val="000000"/>
                </a:solidFill>
                <a:prstDash val="solid"/>
              </a:ln>
            </c:spPr>
          </c:dPt>
          <c:dPt>
            <c:idx val="15"/>
            <c:invertIfNegative val="0"/>
            <c:bubble3D val="0"/>
            <c:spPr>
              <a:solidFill>
                <a:srgbClr val="FFFF00"/>
              </a:solidFill>
              <a:ln w="11025">
                <a:solidFill>
                  <a:srgbClr val="000000"/>
                </a:solidFill>
                <a:prstDash val="solid"/>
              </a:ln>
            </c:spPr>
          </c:dPt>
          <c:dPt>
            <c:idx val="16"/>
            <c:invertIfNegative val="0"/>
            <c:bubble3D val="0"/>
            <c:spPr>
              <a:solidFill>
                <a:srgbClr val="FFFF00"/>
              </a:solidFill>
              <a:ln w="11025">
                <a:solidFill>
                  <a:srgbClr val="000000"/>
                </a:solidFill>
                <a:prstDash val="solid"/>
              </a:ln>
            </c:spPr>
          </c:dPt>
          <c:dPt>
            <c:idx val="17"/>
            <c:invertIfNegative val="0"/>
            <c:bubble3D val="0"/>
            <c:spPr>
              <a:solidFill>
                <a:srgbClr val="FFFF00"/>
              </a:solidFill>
              <a:ln w="11025">
                <a:solidFill>
                  <a:srgbClr val="000000"/>
                </a:solidFill>
                <a:prstDash val="solid"/>
              </a:ln>
            </c:spPr>
          </c:dPt>
          <c:dPt>
            <c:idx val="18"/>
            <c:invertIfNegative val="0"/>
            <c:bubble3D val="0"/>
            <c:spPr>
              <a:solidFill>
                <a:srgbClr val="FFFF00"/>
              </a:solidFill>
              <a:ln w="11025">
                <a:solidFill>
                  <a:srgbClr val="000000"/>
                </a:solidFill>
                <a:prstDash val="solid"/>
              </a:ln>
            </c:spPr>
          </c:dPt>
          <c:dPt>
            <c:idx val="19"/>
            <c:invertIfNegative val="0"/>
            <c:bubble3D val="0"/>
            <c:spPr>
              <a:solidFill>
                <a:srgbClr val="FFFF00"/>
              </a:solidFill>
              <a:ln w="11025">
                <a:solidFill>
                  <a:srgbClr val="000000"/>
                </a:solidFill>
                <a:prstDash val="solid"/>
              </a:ln>
            </c:spPr>
          </c:dPt>
          <c:dPt>
            <c:idx val="20"/>
            <c:invertIfNegative val="0"/>
            <c:bubble3D val="0"/>
            <c:spPr>
              <a:solidFill>
                <a:srgbClr val="FFFF00"/>
              </a:solidFill>
              <a:ln w="11025">
                <a:solidFill>
                  <a:srgbClr val="000000"/>
                </a:solidFill>
                <a:prstDash val="solid"/>
              </a:ln>
            </c:spPr>
          </c:dPt>
          <c:dPt>
            <c:idx val="21"/>
            <c:invertIfNegative val="0"/>
            <c:bubble3D val="0"/>
            <c:spPr>
              <a:solidFill>
                <a:srgbClr val="FFFF00"/>
              </a:solidFill>
              <a:ln w="11025">
                <a:solidFill>
                  <a:srgbClr val="000000"/>
                </a:solidFill>
                <a:prstDash val="solid"/>
              </a:ln>
            </c:spPr>
          </c:dPt>
          <c:dPt>
            <c:idx val="22"/>
            <c:invertIfNegative val="0"/>
            <c:bubble3D val="0"/>
            <c:spPr>
              <a:solidFill>
                <a:srgbClr val="FFFF00"/>
              </a:solidFill>
              <a:ln w="11025">
                <a:solidFill>
                  <a:srgbClr val="000000"/>
                </a:solidFill>
                <a:prstDash val="solid"/>
              </a:ln>
            </c:spPr>
          </c:dPt>
          <c:dPt>
            <c:idx val="23"/>
            <c:invertIfNegative val="0"/>
            <c:bubble3D val="0"/>
            <c:spPr>
              <a:solidFill>
                <a:srgbClr val="FFFF00"/>
              </a:solidFill>
              <a:ln w="11025">
                <a:solidFill>
                  <a:srgbClr val="000000"/>
                </a:solidFill>
                <a:prstDash val="solid"/>
              </a:ln>
            </c:spPr>
          </c:dPt>
          <c:dLbls>
            <c:spPr>
              <a:noFill/>
              <a:ln w="25397">
                <a:noFill/>
              </a:ln>
            </c:spPr>
            <c:txPr>
              <a:bodyPr/>
              <a:lstStyle/>
              <a:p>
                <a:pPr>
                  <a:defRPr sz="42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3"/>
                <c:pt idx="0">
                  <c:v>I</c:v>
                </c:pt>
                <c:pt idx="1">
                  <c:v>I-II</c:v>
                </c:pt>
                <c:pt idx="2">
                  <c:v>I-III</c:v>
                </c:pt>
                <c:pt idx="3">
                  <c:v>I-IV</c:v>
                </c:pt>
                <c:pt idx="4">
                  <c:v>I-V</c:v>
                </c:pt>
                <c:pt idx="5">
                  <c:v>I-VI</c:v>
                </c:pt>
                <c:pt idx="6">
                  <c:v>I-VII</c:v>
                </c:pt>
                <c:pt idx="7">
                  <c:v>I-VIII</c:v>
                </c:pt>
                <c:pt idx="8">
                  <c:v>I-IX</c:v>
                </c:pt>
                <c:pt idx="9">
                  <c:v>I-X</c:v>
                </c:pt>
                <c:pt idx="10">
                  <c:v>I-XI</c:v>
                </c:pt>
                <c:pt idx="11">
                  <c:v>I-XII</c:v>
                </c:pt>
                <c:pt idx="12">
                  <c:v>I</c:v>
                </c:pt>
              </c:strCache>
            </c:strRef>
          </c:cat>
          <c:val>
            <c:numRef>
              <c:f>Sheet1!$B$2:$N$2</c:f>
              <c:numCache>
                <c:formatCode>General</c:formatCode>
                <c:ptCount val="13"/>
                <c:pt idx="0">
                  <c:v>116.6</c:v>
                </c:pt>
                <c:pt idx="1">
                  <c:v>112.4</c:v>
                </c:pt>
                <c:pt idx="2">
                  <c:v>114.5</c:v>
                </c:pt>
                <c:pt idx="3">
                  <c:v>116.3</c:v>
                </c:pt>
                <c:pt idx="4">
                  <c:v>117.8</c:v>
                </c:pt>
                <c:pt idx="5">
                  <c:v>120.5</c:v>
                </c:pt>
                <c:pt idx="6">
                  <c:v>120.6</c:v>
                </c:pt>
                <c:pt idx="7">
                  <c:v>117.7</c:v>
                </c:pt>
                <c:pt idx="8">
                  <c:v>117.3</c:v>
                </c:pt>
                <c:pt idx="9">
                  <c:v>114.2</c:v>
                </c:pt>
                <c:pt idx="10">
                  <c:v>109.5</c:v>
                </c:pt>
                <c:pt idx="11">
                  <c:v>106.9</c:v>
                </c:pt>
                <c:pt idx="12">
                  <c:v>100.8</c:v>
                </c:pt>
              </c:numCache>
            </c:numRef>
          </c:val>
        </c:ser>
        <c:dLbls>
          <c:showLegendKey val="0"/>
          <c:showVal val="0"/>
          <c:showCatName val="0"/>
          <c:showSerName val="0"/>
          <c:showPercent val="0"/>
          <c:showBubbleSize val="0"/>
        </c:dLbls>
        <c:gapWidth val="150"/>
        <c:axId val="677951376"/>
        <c:axId val="674378128"/>
      </c:barChart>
      <c:catAx>
        <c:axId val="677951376"/>
        <c:scaling>
          <c:orientation val="minMax"/>
        </c:scaling>
        <c:delete val="0"/>
        <c:axPos val="b"/>
        <c:title>
          <c:tx>
            <c:rich>
              <a:bodyPr/>
              <a:lstStyle/>
              <a:p>
                <a:pPr>
                  <a:defRPr sz="1000" b="1" i="0" u="none" strike="noStrike" baseline="0">
                    <a:solidFill>
                      <a:srgbClr val="000000"/>
                    </a:solidFill>
                    <a:latin typeface="Arial Cyr"/>
                    <a:ea typeface="Arial Cyr"/>
                    <a:cs typeface="Arial Cyr"/>
                  </a:defRPr>
                </a:pPr>
                <a:r>
                  <a:rPr lang="ru-RU" sz="520" b="1" i="0" u="none" strike="noStrike" baseline="0">
                    <a:solidFill>
                      <a:srgbClr val="000000"/>
                    </a:solidFill>
                    <a:latin typeface="Arial"/>
                    <a:cs typeface="Arial"/>
                  </a:rPr>
                  <a:t>2019                                                                                                                       2020</a:t>
                </a:r>
              </a:p>
            </c:rich>
          </c:tx>
          <c:layout>
            <c:manualLayout>
              <c:xMode val="edge"/>
              <c:yMode val="edge"/>
              <c:x val="0.19142867886499859"/>
              <c:y val="0.82608695652173914"/>
            </c:manualLayout>
          </c:layout>
          <c:overlay val="0"/>
          <c:spPr>
            <a:noFill/>
            <a:ln w="22050">
              <a:noFill/>
            </a:ln>
          </c:spPr>
        </c:title>
        <c:numFmt formatCode="General" sourceLinked="1"/>
        <c:majorTickMark val="out"/>
        <c:minorTickMark val="none"/>
        <c:tickLblPos val="low"/>
        <c:spPr>
          <a:ln w="2757">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u-RU"/>
          </a:p>
        </c:txPr>
        <c:crossAx val="674378128"/>
        <c:crossesAt val="100"/>
        <c:auto val="1"/>
        <c:lblAlgn val="ctr"/>
        <c:lblOffset val="100"/>
        <c:tickLblSkip val="1"/>
        <c:tickMarkSkip val="1"/>
        <c:noMultiLvlLbl val="0"/>
      </c:catAx>
      <c:valAx>
        <c:axId val="674378128"/>
        <c:scaling>
          <c:orientation val="minMax"/>
          <c:max val="122"/>
          <c:min val="100"/>
        </c:scaling>
        <c:delete val="0"/>
        <c:axPos val="l"/>
        <c:numFmt formatCode="General" sourceLinked="1"/>
        <c:majorTickMark val="out"/>
        <c:minorTickMark val="none"/>
        <c:tickLblPos val="nextTo"/>
        <c:spPr>
          <a:ln w="2757">
            <a:solidFill>
              <a:srgbClr val="000000"/>
            </a:solidFill>
            <a:prstDash val="solid"/>
          </a:ln>
        </c:spPr>
        <c:txPr>
          <a:bodyPr rot="0" vert="horz"/>
          <a:lstStyle/>
          <a:p>
            <a:pPr>
              <a:defRPr sz="435" b="0" i="0" u="none" strike="noStrike" baseline="0">
                <a:solidFill>
                  <a:srgbClr val="000000"/>
                </a:solidFill>
                <a:latin typeface="Arial"/>
                <a:ea typeface="Arial"/>
                <a:cs typeface="Arial"/>
              </a:defRPr>
            </a:pPr>
            <a:endParaRPr lang="ru-RU"/>
          </a:p>
        </c:txPr>
        <c:crossAx val="677951376"/>
        <c:crosses val="autoZero"/>
        <c:crossBetween val="between"/>
        <c:majorUnit val="2"/>
      </c:valAx>
      <c:spPr>
        <a:solidFill>
          <a:srgbClr val="FFFFFF"/>
        </a:solidFill>
        <a:ln w="22050">
          <a:noFill/>
        </a:ln>
      </c:spPr>
    </c:plotArea>
    <c:plotVisOnly val="1"/>
    <c:dispBlanksAs val="gap"/>
    <c:showDLblsOverMax val="0"/>
  </c:chart>
  <c:spPr>
    <a:noFill/>
    <a:ln>
      <a:noFill/>
    </a:ln>
  </c:spPr>
  <c:txPr>
    <a:bodyPr/>
    <a:lstStyle/>
    <a:p>
      <a:pPr>
        <a:defRPr sz="695" b="0" i="0" u="none" strike="noStrike" baseline="0">
          <a:solidFill>
            <a:srgbClr val="000000"/>
          </a:solidFill>
          <a:latin typeface="Arial"/>
          <a:ea typeface="Arial"/>
          <a:cs typeface="Aria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4.456824512534819E-2"/>
          <c:y val="9.0452261306532666E-2"/>
          <c:w val="0.92757660167130918"/>
          <c:h val="0.64321608040201006"/>
        </c:manualLayout>
      </c:layout>
      <c:barChart>
        <c:barDir val="col"/>
        <c:grouping val="clustered"/>
        <c:varyColors val="0"/>
        <c:ser>
          <c:idx val="0"/>
          <c:order val="0"/>
          <c:tx>
            <c:strRef>
              <c:f>Sheet1!$A$2</c:f>
              <c:strCache>
                <c:ptCount val="1"/>
              </c:strCache>
            </c:strRef>
          </c:tx>
          <c:spPr>
            <a:solidFill>
              <a:srgbClr val="99CCFF"/>
            </a:solidFill>
            <a:ln w="7709">
              <a:solidFill>
                <a:srgbClr val="000000"/>
              </a:solidFill>
              <a:prstDash val="solid"/>
            </a:ln>
          </c:spPr>
          <c:invertIfNegative val="0"/>
          <c:dPt>
            <c:idx val="12"/>
            <c:invertIfNegative val="0"/>
            <c:bubble3D val="0"/>
            <c:spPr>
              <a:solidFill>
                <a:srgbClr val="3366FF"/>
              </a:solidFill>
              <a:ln w="7709">
                <a:solidFill>
                  <a:srgbClr val="000000"/>
                </a:solidFill>
                <a:prstDash val="solid"/>
              </a:ln>
            </c:spPr>
          </c:dPt>
          <c:dPt>
            <c:idx val="13"/>
            <c:invertIfNegative val="0"/>
            <c:bubble3D val="0"/>
            <c:spPr>
              <a:solidFill>
                <a:srgbClr val="3366FF"/>
              </a:solidFill>
              <a:ln w="7709">
                <a:solidFill>
                  <a:srgbClr val="000000"/>
                </a:solidFill>
                <a:prstDash val="solid"/>
              </a:ln>
            </c:spPr>
          </c:dPt>
          <c:dPt>
            <c:idx val="14"/>
            <c:invertIfNegative val="0"/>
            <c:bubble3D val="0"/>
            <c:spPr>
              <a:solidFill>
                <a:srgbClr val="3366FF"/>
              </a:solidFill>
              <a:ln w="7709">
                <a:solidFill>
                  <a:srgbClr val="000000"/>
                </a:solidFill>
                <a:prstDash val="solid"/>
              </a:ln>
            </c:spPr>
          </c:dPt>
          <c:dPt>
            <c:idx val="15"/>
            <c:invertIfNegative val="0"/>
            <c:bubble3D val="0"/>
            <c:spPr>
              <a:solidFill>
                <a:srgbClr val="3366FF"/>
              </a:solidFill>
              <a:ln w="7709">
                <a:solidFill>
                  <a:srgbClr val="000000"/>
                </a:solidFill>
                <a:prstDash val="solid"/>
              </a:ln>
            </c:spPr>
          </c:dPt>
          <c:dPt>
            <c:idx val="16"/>
            <c:invertIfNegative val="0"/>
            <c:bubble3D val="0"/>
            <c:spPr>
              <a:solidFill>
                <a:srgbClr val="3366FF"/>
              </a:solidFill>
              <a:ln w="7709">
                <a:solidFill>
                  <a:srgbClr val="000000"/>
                </a:solidFill>
                <a:prstDash val="solid"/>
              </a:ln>
            </c:spPr>
          </c:dPt>
          <c:dPt>
            <c:idx val="17"/>
            <c:invertIfNegative val="0"/>
            <c:bubble3D val="0"/>
            <c:spPr>
              <a:solidFill>
                <a:srgbClr val="3366FF"/>
              </a:solidFill>
              <a:ln w="7709">
                <a:solidFill>
                  <a:srgbClr val="000000"/>
                </a:solidFill>
                <a:prstDash val="solid"/>
              </a:ln>
            </c:spPr>
          </c:dPt>
          <c:dPt>
            <c:idx val="18"/>
            <c:invertIfNegative val="0"/>
            <c:bubble3D val="0"/>
            <c:spPr>
              <a:solidFill>
                <a:srgbClr val="3366FF"/>
              </a:solidFill>
              <a:ln w="7709">
                <a:solidFill>
                  <a:srgbClr val="000000"/>
                </a:solidFill>
                <a:prstDash val="solid"/>
              </a:ln>
            </c:spPr>
          </c:dPt>
          <c:dPt>
            <c:idx val="19"/>
            <c:invertIfNegative val="0"/>
            <c:bubble3D val="0"/>
            <c:spPr>
              <a:solidFill>
                <a:srgbClr val="3366FF"/>
              </a:solidFill>
              <a:ln w="7709">
                <a:solidFill>
                  <a:srgbClr val="000000"/>
                </a:solidFill>
                <a:prstDash val="solid"/>
              </a:ln>
            </c:spPr>
          </c:dPt>
          <c:dPt>
            <c:idx val="20"/>
            <c:invertIfNegative val="0"/>
            <c:bubble3D val="0"/>
            <c:spPr>
              <a:solidFill>
                <a:srgbClr val="3366FF"/>
              </a:solidFill>
              <a:ln w="7709">
                <a:solidFill>
                  <a:srgbClr val="000000"/>
                </a:solidFill>
                <a:prstDash val="solid"/>
              </a:ln>
            </c:spPr>
          </c:dPt>
          <c:dPt>
            <c:idx val="21"/>
            <c:invertIfNegative val="0"/>
            <c:bubble3D val="0"/>
            <c:spPr>
              <a:solidFill>
                <a:srgbClr val="3366FF"/>
              </a:solidFill>
              <a:ln w="7709">
                <a:solidFill>
                  <a:srgbClr val="000000"/>
                </a:solidFill>
                <a:prstDash val="solid"/>
              </a:ln>
            </c:spPr>
          </c:dPt>
          <c:dPt>
            <c:idx val="22"/>
            <c:invertIfNegative val="0"/>
            <c:bubble3D val="0"/>
            <c:spPr>
              <a:solidFill>
                <a:srgbClr val="3366FF"/>
              </a:solidFill>
              <a:ln w="7709">
                <a:solidFill>
                  <a:srgbClr val="000000"/>
                </a:solidFill>
                <a:prstDash val="solid"/>
              </a:ln>
            </c:spPr>
          </c:dPt>
          <c:dPt>
            <c:idx val="23"/>
            <c:invertIfNegative val="0"/>
            <c:bubble3D val="0"/>
            <c:spPr>
              <a:solidFill>
                <a:srgbClr val="3366FF"/>
              </a:solidFill>
              <a:ln w="7709">
                <a:solidFill>
                  <a:srgbClr val="000000"/>
                </a:solidFill>
                <a:prstDash val="solid"/>
              </a:ln>
            </c:spPr>
          </c:dPt>
          <c:dLbls>
            <c:dLbl>
              <c:idx val="0"/>
              <c:layout>
                <c:manualLayout>
                  <c:x val="8.4310774886940665E-3"/>
                  <c:y val="7.889948934666921E-3"/>
                </c:manualLayout>
              </c:layout>
              <c:tx>
                <c:rich>
                  <a:bodyPr/>
                  <a:lstStyle/>
                  <a:p>
                    <a:pPr>
                      <a:defRPr sz="273" b="0" i="0" u="none" strike="noStrike" baseline="0">
                        <a:solidFill>
                          <a:srgbClr val="000000"/>
                        </a:solidFill>
                        <a:latin typeface="Arial"/>
                        <a:ea typeface="Arial"/>
                        <a:cs typeface="Arial"/>
                      </a:defRPr>
                    </a:pPr>
                    <a:r>
                      <a:rPr lang="en-US"/>
                      <a:t>175,5</a:t>
                    </a:r>
                  </a:p>
                </c:rich>
              </c:tx>
              <c:spPr>
                <a:noFill/>
                <a:ln w="15417">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9.6143103902613936E-3"/>
                  <c:y val="-6.9884390367813687E-5"/>
                </c:manualLayout>
              </c:layout>
              <c:spPr>
                <a:noFill/>
                <a:ln w="15417">
                  <a:noFill/>
                </a:ln>
              </c:spPr>
              <c:txPr>
                <a:bodyPr/>
                <a:lstStyle/>
                <a:p>
                  <a:pPr>
                    <a:defRPr sz="273" b="0"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5897750957828702E-3"/>
                  <c:y val="4.4727903037270478E-3"/>
                </c:manualLayout>
              </c:layout>
              <c:tx>
                <c:rich>
                  <a:bodyPr/>
                  <a:lstStyle/>
                  <a:p>
                    <a:pPr>
                      <a:defRPr sz="273" b="0" i="0" u="none" strike="noStrike" baseline="0">
                        <a:solidFill>
                          <a:srgbClr val="000000"/>
                        </a:solidFill>
                        <a:latin typeface="Arial"/>
                        <a:ea typeface="Arial"/>
                        <a:cs typeface="Arial"/>
                      </a:defRPr>
                    </a:pPr>
                    <a:r>
                      <a:rPr lang="en-US"/>
                      <a:t>132,0</a:t>
                    </a:r>
                  </a:p>
                </c:rich>
              </c:tx>
              <c:spPr>
                <a:noFill/>
                <a:ln w="15417">
                  <a:noFill/>
                </a:ln>
              </c:spPr>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1.1365557323985143E-3"/>
                  <c:y val="-2.0773073823322996E-2"/>
                </c:manualLayout>
              </c:layout>
              <c:tx>
                <c:rich>
                  <a:bodyPr/>
                  <a:lstStyle/>
                  <a:p>
                    <a:pPr>
                      <a:defRPr sz="273" b="0" i="0" u="none" strike="noStrike" baseline="0">
                        <a:solidFill>
                          <a:srgbClr val="000000"/>
                        </a:solidFill>
                        <a:latin typeface="Arial"/>
                        <a:ea typeface="Arial"/>
                        <a:cs typeface="Arial"/>
                      </a:defRPr>
                    </a:pPr>
                    <a:r>
                      <a:rPr lang="en-US"/>
                      <a:t>131,2</a:t>
                    </a:r>
                  </a:p>
                </c:rich>
              </c:tx>
              <c:spPr>
                <a:noFill/>
                <a:ln w="15417">
                  <a:noFill/>
                </a:ln>
              </c:spPr>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2.4688516893484336E-3"/>
                  <c:y val="-1.7985064025877184E-3"/>
                </c:manualLayout>
              </c:layout>
              <c:tx>
                <c:rich>
                  <a:bodyPr/>
                  <a:lstStyle/>
                  <a:p>
                    <a:pPr>
                      <a:defRPr sz="273" b="0" i="0" u="none" strike="noStrike" baseline="0">
                        <a:solidFill>
                          <a:srgbClr val="000000"/>
                        </a:solidFill>
                        <a:latin typeface="Arial"/>
                        <a:ea typeface="Arial"/>
                        <a:cs typeface="Arial"/>
                      </a:defRPr>
                    </a:pPr>
                    <a:r>
                      <a:rPr lang="en-US"/>
                      <a:t>127,9</a:t>
                    </a:r>
                  </a:p>
                </c:rich>
              </c:tx>
              <c:spPr>
                <a:noFill/>
                <a:ln w="15417">
                  <a:noFill/>
                </a:ln>
              </c:spPr>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1.0153470355384608E-3"/>
                  <c:y val="-2.5622265467158956E-3"/>
                </c:manualLayout>
              </c:layout>
              <c:tx>
                <c:rich>
                  <a:bodyPr/>
                  <a:lstStyle/>
                  <a:p>
                    <a:pPr>
                      <a:defRPr sz="273" b="0" i="0" u="none" strike="noStrike" baseline="0">
                        <a:solidFill>
                          <a:srgbClr val="000000"/>
                        </a:solidFill>
                        <a:latin typeface="Arial"/>
                        <a:ea typeface="Arial"/>
                        <a:cs typeface="Arial"/>
                      </a:defRPr>
                    </a:pPr>
                    <a:r>
                      <a:rPr lang="en-US"/>
                      <a:t>127,0</a:t>
                    </a:r>
                  </a:p>
                </c:rich>
              </c:tx>
              <c:spPr>
                <a:noFill/>
                <a:ln w="15417">
                  <a:noFill/>
                </a:ln>
              </c:spPr>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5.1331583128226832E-3"/>
                  <c:y val="-7.0243114251385963E-3"/>
                </c:manualLayout>
              </c:layout>
              <c:tx>
                <c:rich>
                  <a:bodyPr/>
                  <a:lstStyle/>
                  <a:p>
                    <a:pPr>
                      <a:defRPr sz="273" b="0" i="0" u="none" strike="noStrike" baseline="0">
                        <a:solidFill>
                          <a:srgbClr val="000000"/>
                        </a:solidFill>
                        <a:latin typeface="Arial"/>
                        <a:ea typeface="Arial"/>
                        <a:cs typeface="Arial"/>
                      </a:defRPr>
                    </a:pPr>
                    <a:r>
                      <a:rPr lang="en-US"/>
                      <a:t>122,4</a:t>
                    </a:r>
                  </a:p>
                </c:rich>
              </c:tx>
              <c:spPr>
                <a:noFill/>
                <a:ln w="15417">
                  <a:noFill/>
                </a:ln>
              </c:spPr>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6.4654542697725748E-3"/>
                  <c:y val="-2.0796292050616061E-3"/>
                </c:manualLayout>
              </c:layout>
              <c:tx>
                <c:rich>
                  <a:bodyPr/>
                  <a:lstStyle/>
                  <a:p>
                    <a:pPr>
                      <a:defRPr sz="273" b="0" i="0" u="none" strike="noStrike" baseline="0">
                        <a:solidFill>
                          <a:srgbClr val="000000"/>
                        </a:solidFill>
                        <a:latin typeface="Arial"/>
                        <a:ea typeface="Arial"/>
                        <a:cs typeface="Arial"/>
                      </a:defRPr>
                    </a:pPr>
                    <a:r>
                      <a:rPr lang="en-US"/>
                      <a:t>117,7</a:t>
                    </a:r>
                  </a:p>
                </c:rich>
              </c:tx>
              <c:spPr>
                <a:noFill/>
                <a:ln w="15417">
                  <a:noFill/>
                </a:ln>
              </c:spPr>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5.0119496159625743E-3"/>
                  <c:y val="-1.1553781667508201E-3"/>
                </c:manualLayout>
              </c:layout>
              <c:tx>
                <c:rich>
                  <a:bodyPr/>
                  <a:lstStyle/>
                  <a:p>
                    <a:pPr>
                      <a:defRPr sz="273" b="0" i="0" u="none" strike="noStrike" baseline="0">
                        <a:solidFill>
                          <a:srgbClr val="000000"/>
                        </a:solidFill>
                        <a:latin typeface="Arial"/>
                        <a:ea typeface="Arial"/>
                        <a:cs typeface="Arial"/>
                      </a:defRPr>
                    </a:pPr>
                    <a:r>
                      <a:rPr lang="en-US"/>
                      <a:t>115,5</a:t>
                    </a:r>
                  </a:p>
                </c:rich>
              </c:tx>
              <c:spPr>
                <a:noFill/>
                <a:ln w="15417">
                  <a:noFill/>
                </a:ln>
              </c:spPr>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7.7321493224397075E-4"/>
                  <c:y val="-1.9969414693303544E-2"/>
                </c:manualLayout>
              </c:layout>
              <c:tx>
                <c:rich>
                  <a:bodyPr/>
                  <a:lstStyle/>
                  <a:p>
                    <a:pPr>
                      <a:defRPr sz="273" b="0" i="0" u="none" strike="noStrike" baseline="0">
                        <a:solidFill>
                          <a:srgbClr val="000000"/>
                        </a:solidFill>
                        <a:latin typeface="Arial"/>
                        <a:ea typeface="Arial"/>
                        <a:cs typeface="Arial"/>
                      </a:defRPr>
                    </a:pPr>
                    <a:r>
                      <a:rPr lang="en-US"/>
                      <a:t>115,7</a:t>
                    </a:r>
                  </a:p>
                </c:rich>
              </c:tx>
              <c:spPr>
                <a:noFill/>
                <a:ln w="15417">
                  <a:noFill/>
                </a:ln>
              </c:spPr>
              <c:dLblPos val="outEnd"/>
              <c:showLegendKey val="0"/>
              <c:showVal val="0"/>
              <c:showCatName val="0"/>
              <c:showSerName val="0"/>
              <c:showPercent val="0"/>
              <c:showBubbleSize val="0"/>
              <c:extLst>
                <c:ext xmlns:c15="http://schemas.microsoft.com/office/drawing/2012/chart" uri="{CE6537A1-D6FC-4f65-9D91-7224C49458BB}"/>
              </c:extLst>
            </c:dLbl>
            <c:dLbl>
              <c:idx val="10"/>
              <c:layout>
                <c:manualLayout>
                  <c:x val="6.8000443114041298E-4"/>
                  <c:y val="-8.1099516091300838E-3"/>
                </c:manualLayout>
              </c:layout>
              <c:tx>
                <c:rich>
                  <a:bodyPr/>
                  <a:lstStyle/>
                  <a:p>
                    <a:pPr>
                      <a:defRPr sz="273" b="0" i="0" u="none" strike="noStrike" baseline="0">
                        <a:solidFill>
                          <a:srgbClr val="000000"/>
                        </a:solidFill>
                        <a:latin typeface="Arial"/>
                        <a:ea typeface="Arial"/>
                        <a:cs typeface="Arial"/>
                      </a:defRPr>
                    </a:pPr>
                    <a:r>
                      <a:rPr lang="en-US"/>
                      <a:t>115,2</a:t>
                    </a:r>
                  </a:p>
                </c:rich>
              </c:tx>
              <c:spPr>
                <a:noFill/>
                <a:ln w="15417">
                  <a:noFill/>
                </a:ln>
              </c:spPr>
              <c:dLblPos val="outEnd"/>
              <c:showLegendKey val="0"/>
              <c:showVal val="0"/>
              <c:showCatName val="0"/>
              <c:showSerName val="0"/>
              <c:showPercent val="0"/>
              <c:showBubbleSize val="0"/>
              <c:extLst>
                <c:ext xmlns:c15="http://schemas.microsoft.com/office/drawing/2012/chart" uri="{CE6537A1-D6FC-4f65-9D91-7224C49458BB}"/>
              </c:extLst>
            </c:dLbl>
            <c:dLbl>
              <c:idx val="11"/>
              <c:layout>
                <c:manualLayout>
                  <c:x val="2.133509084950358E-3"/>
                  <c:y val="-2.9640876650895431E-3"/>
                </c:manualLayout>
              </c:layout>
              <c:tx>
                <c:rich>
                  <a:bodyPr/>
                  <a:lstStyle/>
                  <a:p>
                    <a:pPr>
                      <a:defRPr sz="273" b="0" i="0" u="none" strike="noStrike" baseline="0">
                        <a:solidFill>
                          <a:srgbClr val="000000"/>
                        </a:solidFill>
                        <a:latin typeface="Arial"/>
                        <a:ea typeface="Arial"/>
                        <a:cs typeface="Arial"/>
                      </a:defRPr>
                    </a:pPr>
                    <a:r>
                      <a:rPr lang="en-US"/>
                      <a:t>116,0</a:t>
                    </a:r>
                  </a:p>
                </c:rich>
              </c:tx>
              <c:spPr>
                <a:noFill/>
                <a:ln w="15417">
                  <a:noFill/>
                </a:ln>
              </c:spPr>
              <c:dLblPos val="outEnd"/>
              <c:showLegendKey val="0"/>
              <c:showVal val="0"/>
              <c:showCatName val="0"/>
              <c:showSerName val="0"/>
              <c:showPercent val="0"/>
              <c:showBubbleSize val="0"/>
              <c:extLst>
                <c:ext xmlns:c15="http://schemas.microsoft.com/office/drawing/2012/chart" uri="{CE6537A1-D6FC-4f65-9D91-7224C49458BB}"/>
              </c:extLst>
            </c:dLbl>
            <c:dLbl>
              <c:idx val="12"/>
              <c:layout>
                <c:manualLayout>
                  <c:x val="-3.1389329406974475E-3"/>
                  <c:y val="1.8214194457449651E-2"/>
                </c:manualLayout>
              </c:layout>
              <c:tx>
                <c:rich>
                  <a:bodyPr/>
                  <a:lstStyle/>
                  <a:p>
                    <a:pPr>
                      <a:defRPr sz="273" b="0" i="0" u="none" strike="noStrike" baseline="0">
                        <a:solidFill>
                          <a:srgbClr val="000000"/>
                        </a:solidFill>
                        <a:latin typeface="Arial"/>
                        <a:ea typeface="Arial"/>
                        <a:cs typeface="Arial"/>
                      </a:defRPr>
                    </a:pPr>
                    <a:r>
                      <a:rPr lang="en-US"/>
                      <a:t>90,3
</a:t>
                    </a:r>
                  </a:p>
                </c:rich>
              </c:tx>
              <c:spPr>
                <a:noFill/>
                <a:ln w="15417">
                  <a:noFill/>
                </a:ln>
              </c:spPr>
              <c:dLblPos val="outEnd"/>
              <c:showLegendKey val="0"/>
              <c:showVal val="0"/>
              <c:showCatName val="0"/>
              <c:showSerName val="0"/>
              <c:showPercent val="0"/>
              <c:showBubbleSize val="0"/>
              <c:extLst>
                <c:ext xmlns:c15="http://schemas.microsoft.com/office/drawing/2012/chart" uri="{CE6537A1-D6FC-4f65-9D91-7224C49458BB}"/>
              </c:extLst>
            </c:dLbl>
            <c:dLbl>
              <c:idx val="13"/>
              <c:layout>
                <c:manualLayout>
                  <c:x val="-1.6857135773130638E-3"/>
                  <c:y val="2.4445342663536818E-2"/>
                </c:manualLayout>
              </c:layout>
              <c:tx>
                <c:rich>
                  <a:bodyPr/>
                  <a:lstStyle/>
                  <a:p>
                    <a:pPr>
                      <a:defRPr sz="273" b="0" i="0" u="none" strike="noStrike" baseline="0">
                        <a:solidFill>
                          <a:srgbClr val="000000"/>
                        </a:solidFill>
                        <a:latin typeface="Arial"/>
                        <a:ea typeface="Arial"/>
                        <a:cs typeface="Arial"/>
                      </a:defRPr>
                    </a:pPr>
                    <a:r>
                      <a:rPr lang="en-US"/>
                      <a:t>94,8</a:t>
                    </a:r>
                  </a:p>
                </c:rich>
              </c:tx>
              <c:spPr>
                <a:noFill/>
                <a:ln w="15417">
                  <a:noFill/>
                </a:ln>
              </c:spPr>
              <c:dLblPos val="outEnd"/>
              <c:showLegendKey val="0"/>
              <c:showVal val="0"/>
              <c:showCatName val="0"/>
              <c:showSerName val="0"/>
              <c:showPercent val="0"/>
              <c:showBubbleSize val="0"/>
              <c:extLst>
                <c:ext xmlns:c15="http://schemas.microsoft.com/office/drawing/2012/chart" uri="{CE6537A1-D6FC-4f65-9D91-7224C49458BB}"/>
              </c:extLst>
            </c:dLbl>
            <c:dLbl>
              <c:idx val="14"/>
              <c:layout>
                <c:manualLayout>
                  <c:x val="-3.0180095342630109E-3"/>
                  <c:y val="3.0797229185523745E-2"/>
                </c:manualLayout>
              </c:layout>
              <c:tx>
                <c:rich>
                  <a:bodyPr/>
                  <a:lstStyle/>
                  <a:p>
                    <a:pPr>
                      <a:defRPr sz="273" b="0" i="0" u="none" strike="noStrike" baseline="0">
                        <a:solidFill>
                          <a:srgbClr val="000000"/>
                        </a:solidFill>
                        <a:latin typeface="Arial"/>
                        <a:ea typeface="Arial"/>
                        <a:cs typeface="Arial"/>
                      </a:defRPr>
                    </a:pPr>
                    <a:r>
                      <a:rPr lang="en-US"/>
                      <a:t>98,5</a:t>
                    </a:r>
                  </a:p>
                </c:rich>
              </c:tx>
              <c:spPr>
                <a:noFill/>
                <a:ln w="15417">
                  <a:noFill/>
                </a:ln>
              </c:spPr>
              <c:dLblPos val="outEnd"/>
              <c:showLegendKey val="0"/>
              <c:showVal val="0"/>
              <c:showCatName val="0"/>
              <c:showSerName val="0"/>
              <c:showPercent val="0"/>
              <c:showBubbleSize val="0"/>
              <c:extLst>
                <c:ext xmlns:c15="http://schemas.microsoft.com/office/drawing/2012/chart" uri="{CE6537A1-D6FC-4f65-9D91-7224C49458BB}"/>
              </c:extLst>
            </c:dLbl>
            <c:dLbl>
              <c:idx val="15"/>
              <c:layout>
                <c:manualLayout>
                  <c:x val="1.2210104398813204E-3"/>
                  <c:y val="2.6415085385611436E-2"/>
                </c:manualLayout>
              </c:layout>
              <c:tx>
                <c:rich>
                  <a:bodyPr/>
                  <a:lstStyle/>
                  <a:p>
                    <a:pPr>
                      <a:defRPr sz="273" b="0" i="0" u="none" strike="noStrike" baseline="0">
                        <a:solidFill>
                          <a:srgbClr val="000000"/>
                        </a:solidFill>
                        <a:latin typeface="Arial"/>
                        <a:ea typeface="Arial"/>
                        <a:cs typeface="Arial"/>
                      </a:defRPr>
                    </a:pPr>
                    <a:r>
                      <a:rPr lang="en-US"/>
                      <a:t>98,4</a:t>
                    </a:r>
                  </a:p>
                </c:rich>
              </c:tx>
              <c:spPr>
                <a:noFill/>
                <a:ln w="15417">
                  <a:noFill/>
                </a:ln>
              </c:spPr>
              <c:dLblPos val="outEnd"/>
              <c:showLegendKey val="0"/>
              <c:showVal val="0"/>
              <c:showCatName val="0"/>
              <c:showSerName val="0"/>
              <c:showPercent val="0"/>
              <c:showBubbleSize val="0"/>
              <c:extLst>
                <c:ext xmlns:c15="http://schemas.microsoft.com/office/drawing/2012/chart" uri="{CE6537A1-D6FC-4f65-9D91-7224C49458BB}"/>
              </c:extLst>
            </c:dLbl>
            <c:dLbl>
              <c:idx val="16"/>
              <c:layout>
                <c:manualLayout>
                  <c:x val="1.043345231295123E-3"/>
                  <c:y val="4.990003957422906E-2"/>
                </c:manualLayout>
              </c:layout>
              <c:tx>
                <c:rich>
                  <a:bodyPr/>
                  <a:lstStyle/>
                  <a:p>
                    <a:pPr>
                      <a:defRPr sz="273" b="0" i="0" u="none" strike="noStrike" baseline="0">
                        <a:solidFill>
                          <a:srgbClr val="000000"/>
                        </a:solidFill>
                        <a:latin typeface="Arial"/>
                        <a:ea typeface="Arial"/>
                        <a:cs typeface="Arial"/>
                      </a:defRPr>
                    </a:pPr>
                    <a:r>
                      <a:rPr lang="en-US"/>
                      <a:t>100,0</a:t>
                    </a:r>
                  </a:p>
                </c:rich>
              </c:tx>
              <c:spPr>
                <a:noFill/>
                <a:ln w="15417">
                  <a:noFill/>
                </a:ln>
              </c:spPr>
              <c:dLblPos val="outEnd"/>
              <c:showLegendKey val="0"/>
              <c:showVal val="0"/>
              <c:showCatName val="0"/>
              <c:showSerName val="0"/>
              <c:showPercent val="0"/>
              <c:showBubbleSize val="0"/>
              <c:extLst>
                <c:ext xmlns:c15="http://schemas.microsoft.com/office/drawing/2012/chart" uri="{CE6537A1-D6FC-4f65-9D91-7224C49458BB}"/>
              </c:extLst>
            </c:dLbl>
            <c:dLbl>
              <c:idx val="17"/>
              <c:layout>
                <c:manualLayout>
                  <c:x val="4.1274491666499769E-3"/>
                  <c:y val="2.9229493989431199E-2"/>
                </c:manualLayout>
              </c:layout>
              <c:tx>
                <c:rich>
                  <a:bodyPr/>
                  <a:lstStyle/>
                  <a:p>
                    <a:pPr>
                      <a:defRPr sz="273" b="0" i="0" u="none" strike="noStrike" baseline="0">
                        <a:solidFill>
                          <a:srgbClr val="000000"/>
                        </a:solidFill>
                        <a:latin typeface="Arial"/>
                        <a:ea typeface="Arial"/>
                        <a:cs typeface="Arial"/>
                      </a:defRPr>
                    </a:pPr>
                    <a:r>
                      <a:rPr lang="en-US"/>
                      <a:t>96,4</a:t>
                    </a:r>
                  </a:p>
                </c:rich>
              </c:tx>
              <c:spPr>
                <a:noFill/>
                <a:ln w="15417">
                  <a:noFill/>
                </a:ln>
              </c:spPr>
              <c:dLblPos val="outEnd"/>
              <c:showLegendKey val="0"/>
              <c:showVal val="0"/>
              <c:showCatName val="0"/>
              <c:showSerName val="0"/>
              <c:showPercent val="0"/>
              <c:showBubbleSize val="0"/>
              <c:extLst>
                <c:ext xmlns:c15="http://schemas.microsoft.com/office/drawing/2012/chart" uri="{CE6537A1-D6FC-4f65-9D91-7224C49458BB}"/>
              </c:extLst>
            </c:dLbl>
            <c:dLbl>
              <c:idx val="18"/>
              <c:layout>
                <c:manualLayout>
                  <c:x val="5.5809538204599773E-3"/>
                  <c:y val="3.2847415315662043E-2"/>
                </c:manualLayout>
              </c:layout>
              <c:tx>
                <c:rich>
                  <a:bodyPr/>
                  <a:lstStyle/>
                  <a:p>
                    <a:pPr>
                      <a:defRPr sz="273" b="0" i="0" u="none" strike="noStrike" baseline="0">
                        <a:solidFill>
                          <a:srgbClr val="000000"/>
                        </a:solidFill>
                        <a:latin typeface="Arial"/>
                        <a:ea typeface="Arial"/>
                        <a:cs typeface="Arial"/>
                      </a:defRPr>
                    </a:pPr>
                    <a:r>
                      <a:rPr lang="en-US"/>
                      <a:t>97,4</a:t>
                    </a:r>
                  </a:p>
                </c:rich>
              </c:tx>
              <c:spPr>
                <a:noFill/>
                <a:ln w="15417">
                  <a:noFill/>
                </a:ln>
              </c:spPr>
              <c:dLblPos val="outEnd"/>
              <c:showLegendKey val="0"/>
              <c:showVal val="0"/>
              <c:showCatName val="0"/>
              <c:showSerName val="0"/>
              <c:showPercent val="0"/>
              <c:showBubbleSize val="0"/>
              <c:extLst>
                <c:ext xmlns:c15="http://schemas.microsoft.com/office/drawing/2012/chart" uri="{CE6537A1-D6FC-4f65-9D91-7224C49458BB}"/>
              </c:extLst>
            </c:dLbl>
            <c:dLbl>
              <c:idx val="19"/>
              <c:layout>
                <c:manualLayout>
                  <c:x val="4.2486578635100303E-3"/>
                  <c:y val="8.4787145109061268E-2"/>
                </c:manualLayout>
              </c:layout>
              <c:tx>
                <c:rich>
                  <a:bodyPr/>
                  <a:lstStyle/>
                  <a:p>
                    <a:pPr>
                      <a:defRPr sz="273" b="0" i="0" u="none" strike="noStrike" baseline="0">
                        <a:solidFill>
                          <a:srgbClr val="000000"/>
                        </a:solidFill>
                        <a:latin typeface="Arial"/>
                        <a:ea typeface="Arial"/>
                        <a:cs typeface="Arial"/>
                      </a:defRPr>
                    </a:pPr>
                    <a:r>
                      <a:rPr lang="en-US"/>
                      <a:t>98,7</a:t>
                    </a:r>
                  </a:p>
                </c:rich>
              </c:tx>
              <c:spPr>
                <a:noFill/>
                <a:ln w="15417">
                  <a:noFill/>
                </a:ln>
              </c:spPr>
              <c:dLblPos val="outEnd"/>
              <c:showLegendKey val="0"/>
              <c:showVal val="0"/>
              <c:showCatName val="0"/>
              <c:showSerName val="0"/>
              <c:showPercent val="0"/>
              <c:showBubbleSize val="0"/>
              <c:extLst>
                <c:ext xmlns:c15="http://schemas.microsoft.com/office/drawing/2012/chart" uri="{CE6537A1-D6FC-4f65-9D91-7224C49458BB}"/>
              </c:extLst>
            </c:dLbl>
            <c:dLbl>
              <c:idx val="20"/>
              <c:layout>
                <c:manualLayout>
                  <c:x val="1.3084658622586343E-4"/>
                  <c:y val="3.1560949329651922E-2"/>
                </c:manualLayout>
              </c:layout>
              <c:tx>
                <c:rich>
                  <a:bodyPr/>
                  <a:lstStyle/>
                  <a:p>
                    <a:pPr>
                      <a:defRPr sz="273" b="0" i="0" u="none" strike="noStrike" baseline="0">
                        <a:solidFill>
                          <a:srgbClr val="000000"/>
                        </a:solidFill>
                        <a:latin typeface="Arial"/>
                        <a:ea typeface="Arial"/>
                        <a:cs typeface="Arial"/>
                      </a:defRPr>
                    </a:pPr>
                    <a:r>
                      <a:rPr lang="en-US"/>
                      <a:t>97,6</a:t>
                    </a:r>
                  </a:p>
                </c:rich>
              </c:tx>
              <c:spPr>
                <a:noFill/>
                <a:ln w="15417">
                  <a:noFill/>
                </a:ln>
              </c:spPr>
              <c:dLblPos val="outEnd"/>
              <c:showLegendKey val="0"/>
              <c:showVal val="0"/>
              <c:showCatName val="0"/>
              <c:showSerName val="0"/>
              <c:showPercent val="0"/>
              <c:showBubbleSize val="0"/>
              <c:extLst>
                <c:ext xmlns:c15="http://schemas.microsoft.com/office/drawing/2012/chart" uri="{CE6537A1-D6FC-4f65-9D91-7224C49458BB}"/>
              </c:extLst>
            </c:dLbl>
            <c:dLbl>
              <c:idx val="21"/>
              <c:layout>
                <c:manualLayout>
                  <c:x val="7.1553818807044145E-3"/>
                  <c:y val="2.9229493989431199E-2"/>
                </c:manualLayout>
              </c:layout>
              <c:tx>
                <c:rich>
                  <a:bodyPr/>
                  <a:lstStyle/>
                  <a:p>
                    <a:pPr>
                      <a:defRPr sz="273" b="0" i="0" u="none" strike="noStrike" baseline="0">
                        <a:solidFill>
                          <a:srgbClr val="000000"/>
                        </a:solidFill>
                        <a:latin typeface="Arial"/>
                        <a:ea typeface="Arial"/>
                        <a:cs typeface="Arial"/>
                      </a:defRPr>
                    </a:pPr>
                    <a:r>
                      <a:rPr lang="en-US"/>
                      <a:t>96,4</a:t>
                    </a:r>
                  </a:p>
                </c:rich>
              </c:tx>
              <c:spPr>
                <a:noFill/>
                <a:ln w="15417">
                  <a:noFill/>
                </a:ln>
              </c:spPr>
              <c:dLblPos val="outEnd"/>
              <c:showLegendKey val="0"/>
              <c:showVal val="0"/>
              <c:showCatName val="0"/>
              <c:showSerName val="0"/>
              <c:showPercent val="0"/>
              <c:showBubbleSize val="0"/>
              <c:extLst>
                <c:ext xmlns:c15="http://schemas.microsoft.com/office/drawing/2012/chart" uri="{CE6537A1-D6FC-4f65-9D91-7224C49458BB}"/>
              </c:extLst>
            </c:dLbl>
            <c:dLbl>
              <c:idx val="22"/>
              <c:layout>
                <c:manualLayout>
                  <c:x val="8.6086012440886872E-3"/>
                  <c:y val="2.8827486463449015E-2"/>
                </c:manualLayout>
              </c:layout>
              <c:tx>
                <c:rich>
                  <a:bodyPr/>
                  <a:lstStyle/>
                  <a:p>
                    <a:pPr>
                      <a:defRPr sz="273" b="0" i="0" u="none" strike="noStrike" baseline="0">
                        <a:solidFill>
                          <a:srgbClr val="000000"/>
                        </a:solidFill>
                        <a:latin typeface="Arial"/>
                        <a:ea typeface="Arial"/>
                        <a:cs typeface="Arial"/>
                      </a:defRPr>
                    </a:pPr>
                    <a:r>
                      <a:rPr lang="en-US"/>
                      <a:t>95,1</a:t>
                    </a:r>
                  </a:p>
                </c:rich>
              </c:tx>
              <c:spPr>
                <a:noFill/>
                <a:ln w="15417">
                  <a:noFill/>
                </a:ln>
              </c:spPr>
              <c:dLblPos val="outEnd"/>
              <c:showLegendKey val="0"/>
              <c:showVal val="0"/>
              <c:showCatName val="0"/>
              <c:showSerName val="0"/>
              <c:showPercent val="0"/>
              <c:showBubbleSize val="0"/>
              <c:extLst>
                <c:ext xmlns:c15="http://schemas.microsoft.com/office/drawing/2012/chart" uri="{CE6537A1-D6FC-4f65-9D91-7224C49458BB}"/>
              </c:extLst>
            </c:dLbl>
            <c:dLbl>
              <c:idx val="23"/>
              <c:spPr>
                <a:noFill/>
                <a:ln w="15417">
                  <a:noFill/>
                </a:ln>
              </c:spPr>
              <c:txPr>
                <a:bodyPr/>
                <a:lstStyle/>
                <a:p>
                  <a:pPr>
                    <a:defRPr sz="273" b="0"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w="15417">
                <a:noFill/>
              </a:ln>
            </c:spPr>
            <c:txPr>
              <a:bodyPr wrap="square" lIns="38100" tIns="19050" rIns="38100" bIns="19050" anchor="ctr">
                <a:spAutoFit/>
              </a:bodyPr>
              <a:lstStyle/>
              <a:p>
                <a:pPr>
                  <a:defRPr sz="273"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Sheet1!$B$1:$Y$1</c:f>
              <c:strCache>
                <c:ptCount val="24"/>
                <c:pt idx="0">
                  <c:v>I</c:v>
                </c:pt>
                <c:pt idx="1">
                  <c:v>I-II</c:v>
                </c:pt>
                <c:pt idx="2">
                  <c:v>I-III</c:v>
                </c:pt>
                <c:pt idx="3">
                  <c:v>I-IV</c:v>
                </c:pt>
                <c:pt idx="4">
                  <c:v>I-V</c:v>
                </c:pt>
                <c:pt idx="5">
                  <c:v>I-VI</c:v>
                </c:pt>
                <c:pt idx="6">
                  <c:v>I-VII</c:v>
                </c:pt>
                <c:pt idx="7">
                  <c:v>I-VIII</c:v>
                </c:pt>
                <c:pt idx="8">
                  <c:v>I-IX</c:v>
                </c:pt>
                <c:pt idx="9">
                  <c:v>I-X</c:v>
                </c:pt>
                <c:pt idx="10">
                  <c:v>I-XI</c:v>
                </c:pt>
                <c:pt idx="11">
                  <c:v>I-XII</c:v>
                </c:pt>
                <c:pt idx="12">
                  <c:v>I</c:v>
                </c:pt>
                <c:pt idx="13">
                  <c:v>I-II</c:v>
                </c:pt>
                <c:pt idx="14">
                  <c:v>I-III</c:v>
                </c:pt>
                <c:pt idx="15">
                  <c:v>I-IV</c:v>
                </c:pt>
                <c:pt idx="16">
                  <c:v>I-V</c:v>
                </c:pt>
                <c:pt idx="17">
                  <c:v>I-VI</c:v>
                </c:pt>
                <c:pt idx="18">
                  <c:v>I-VII</c:v>
                </c:pt>
                <c:pt idx="19">
                  <c:v>I-VIII</c:v>
                </c:pt>
                <c:pt idx="20">
                  <c:v>I-IX</c:v>
                </c:pt>
                <c:pt idx="21">
                  <c:v>I-X</c:v>
                </c:pt>
                <c:pt idx="22">
                  <c:v>I-XI</c:v>
                </c:pt>
                <c:pt idx="23">
                  <c:v>I-XII</c:v>
                </c:pt>
              </c:strCache>
            </c:strRef>
          </c:cat>
          <c:val>
            <c:numRef>
              <c:f>Sheet1!$B$2:$Y$2</c:f>
              <c:numCache>
                <c:formatCode>General</c:formatCode>
                <c:ptCount val="24"/>
                <c:pt idx="0">
                  <c:v>175.5</c:v>
                </c:pt>
                <c:pt idx="1">
                  <c:v>135.19999999999999</c:v>
                </c:pt>
                <c:pt idx="2">
                  <c:v>132</c:v>
                </c:pt>
                <c:pt idx="3">
                  <c:v>131.19999999999999</c:v>
                </c:pt>
                <c:pt idx="4">
                  <c:v>127.9</c:v>
                </c:pt>
                <c:pt idx="5">
                  <c:v>127</c:v>
                </c:pt>
                <c:pt idx="6">
                  <c:v>122.4</c:v>
                </c:pt>
                <c:pt idx="7">
                  <c:v>117.7</c:v>
                </c:pt>
                <c:pt idx="8">
                  <c:v>115.5</c:v>
                </c:pt>
                <c:pt idx="9">
                  <c:v>115.7</c:v>
                </c:pt>
                <c:pt idx="10">
                  <c:v>115.2</c:v>
                </c:pt>
                <c:pt idx="11">
                  <c:v>116</c:v>
                </c:pt>
                <c:pt idx="12">
                  <c:v>90.3</c:v>
                </c:pt>
                <c:pt idx="13">
                  <c:v>94.8</c:v>
                </c:pt>
                <c:pt idx="14">
                  <c:v>98.5</c:v>
                </c:pt>
                <c:pt idx="15">
                  <c:v>98.4</c:v>
                </c:pt>
                <c:pt idx="16">
                  <c:v>100</c:v>
                </c:pt>
                <c:pt idx="17">
                  <c:v>96.4</c:v>
                </c:pt>
                <c:pt idx="18">
                  <c:v>97.4</c:v>
                </c:pt>
                <c:pt idx="19">
                  <c:v>98.7</c:v>
                </c:pt>
                <c:pt idx="20">
                  <c:v>97.6</c:v>
                </c:pt>
                <c:pt idx="21">
                  <c:v>96.4</c:v>
                </c:pt>
                <c:pt idx="22">
                  <c:v>95.1</c:v>
                </c:pt>
                <c:pt idx="23">
                  <c:v>93.3</c:v>
                </c:pt>
              </c:numCache>
            </c:numRef>
          </c:val>
        </c:ser>
        <c:dLbls>
          <c:showLegendKey val="0"/>
          <c:showVal val="0"/>
          <c:showCatName val="0"/>
          <c:showSerName val="0"/>
          <c:showPercent val="0"/>
          <c:showBubbleSize val="0"/>
        </c:dLbls>
        <c:gapWidth val="150"/>
        <c:axId val="673276728"/>
        <c:axId val="673277120"/>
      </c:barChart>
      <c:catAx>
        <c:axId val="673276728"/>
        <c:scaling>
          <c:orientation val="minMax"/>
        </c:scaling>
        <c:delete val="0"/>
        <c:axPos val="b"/>
        <c:title>
          <c:tx>
            <c:rich>
              <a:bodyPr/>
              <a:lstStyle/>
              <a:p>
                <a:pPr>
                  <a:defRPr sz="364" b="1" i="0" u="none" strike="noStrike" baseline="0">
                    <a:solidFill>
                      <a:srgbClr val="000000"/>
                    </a:solidFill>
                    <a:latin typeface="Arial"/>
                    <a:ea typeface="Arial"/>
                    <a:cs typeface="Arial"/>
                  </a:defRPr>
                </a:pPr>
                <a:r>
                  <a:rPr lang="ru-RU"/>
                  <a:t>2018                                                                                          2019</a:t>
                </a:r>
              </a:p>
            </c:rich>
          </c:tx>
          <c:layout>
            <c:manualLayout>
              <c:xMode val="edge"/>
              <c:yMode val="edge"/>
              <c:x val="0.35097494098153931"/>
              <c:y val="0.82914572864321612"/>
            </c:manualLayout>
          </c:layout>
          <c:overlay val="0"/>
          <c:spPr>
            <a:noFill/>
            <a:ln w="15417">
              <a:noFill/>
            </a:ln>
          </c:spPr>
        </c:title>
        <c:numFmt formatCode="General" sourceLinked="1"/>
        <c:majorTickMark val="out"/>
        <c:minorTickMark val="none"/>
        <c:tickLblPos val="low"/>
        <c:spPr>
          <a:ln w="1927">
            <a:solidFill>
              <a:srgbClr val="000000"/>
            </a:solidFill>
            <a:prstDash val="solid"/>
          </a:ln>
        </c:spPr>
        <c:txPr>
          <a:bodyPr rot="0" vert="horz"/>
          <a:lstStyle/>
          <a:p>
            <a:pPr>
              <a:defRPr sz="241" b="0" i="0" u="none" strike="noStrike" baseline="0">
                <a:solidFill>
                  <a:srgbClr val="000000"/>
                </a:solidFill>
                <a:latin typeface="Arial"/>
                <a:ea typeface="Arial"/>
                <a:cs typeface="Arial"/>
              </a:defRPr>
            </a:pPr>
            <a:endParaRPr lang="ru-RU"/>
          </a:p>
        </c:txPr>
        <c:crossAx val="673277120"/>
        <c:crossesAt val="100"/>
        <c:auto val="1"/>
        <c:lblAlgn val="ctr"/>
        <c:lblOffset val="100"/>
        <c:tickLblSkip val="1"/>
        <c:tickMarkSkip val="1"/>
        <c:noMultiLvlLbl val="0"/>
      </c:catAx>
      <c:valAx>
        <c:axId val="673277120"/>
        <c:scaling>
          <c:orientation val="minMax"/>
          <c:max val="180"/>
          <c:min val="80"/>
        </c:scaling>
        <c:delete val="0"/>
        <c:axPos val="l"/>
        <c:numFmt formatCode="General" sourceLinked="1"/>
        <c:majorTickMark val="out"/>
        <c:minorTickMark val="none"/>
        <c:tickLblPos val="nextTo"/>
        <c:spPr>
          <a:ln w="1927">
            <a:solidFill>
              <a:srgbClr val="000000"/>
            </a:solidFill>
            <a:prstDash val="solid"/>
          </a:ln>
        </c:spPr>
        <c:txPr>
          <a:bodyPr rot="0" vert="horz"/>
          <a:lstStyle/>
          <a:p>
            <a:pPr>
              <a:defRPr sz="273" b="0" i="0" u="none" strike="noStrike" baseline="0">
                <a:solidFill>
                  <a:srgbClr val="000000"/>
                </a:solidFill>
                <a:latin typeface="Arial"/>
                <a:ea typeface="Arial"/>
                <a:cs typeface="Arial"/>
              </a:defRPr>
            </a:pPr>
            <a:endParaRPr lang="ru-RU"/>
          </a:p>
        </c:txPr>
        <c:crossAx val="673276728"/>
        <c:crosses val="autoZero"/>
        <c:crossBetween val="between"/>
        <c:majorUnit val="10"/>
      </c:valAx>
      <c:spPr>
        <a:solidFill>
          <a:srgbClr val="FFFFFF"/>
        </a:solidFill>
        <a:ln w="15417">
          <a:noFill/>
        </a:ln>
      </c:spPr>
    </c:plotArea>
    <c:plotVisOnly val="1"/>
    <c:dispBlanksAs val="gap"/>
    <c:showDLblsOverMax val="0"/>
  </c:chart>
  <c:spPr>
    <a:noFill/>
    <a:ln>
      <a:noFill/>
    </a:ln>
  </c:spPr>
  <c:txPr>
    <a:bodyPr/>
    <a:lstStyle/>
    <a:p>
      <a:pPr>
        <a:defRPr sz="531" b="0" i="0" u="none" strike="noStrike" baseline="0">
          <a:solidFill>
            <a:srgbClr val="000000"/>
          </a:solidFill>
          <a:latin typeface="Arial"/>
          <a:ea typeface="Arial"/>
          <a:cs typeface="Aria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4.8929663608562692E-2"/>
          <c:y val="9.9447513812154692E-2"/>
          <c:w val="0.95412844036697253"/>
          <c:h val="0.63535911602209949"/>
        </c:manualLayout>
      </c:layout>
      <c:barChart>
        <c:barDir val="col"/>
        <c:grouping val="clustered"/>
        <c:varyColors val="0"/>
        <c:ser>
          <c:idx val="0"/>
          <c:order val="0"/>
          <c:tx>
            <c:strRef>
              <c:f>Sheet1!$A$2</c:f>
              <c:strCache>
                <c:ptCount val="1"/>
              </c:strCache>
            </c:strRef>
          </c:tx>
          <c:spPr>
            <a:solidFill>
              <a:srgbClr val="9999FF"/>
            </a:solidFill>
            <a:ln w="7825">
              <a:solidFill>
                <a:srgbClr val="000000"/>
              </a:solidFill>
              <a:prstDash val="solid"/>
            </a:ln>
          </c:spPr>
          <c:invertIfNegative val="0"/>
          <c:dPt>
            <c:idx val="12"/>
            <c:invertIfNegative val="0"/>
            <c:bubble3D val="0"/>
            <c:spPr>
              <a:solidFill>
                <a:srgbClr val="CCCCFF"/>
              </a:solidFill>
              <a:ln w="7825">
                <a:solidFill>
                  <a:srgbClr val="000000"/>
                </a:solidFill>
                <a:prstDash val="solid"/>
              </a:ln>
            </c:spPr>
          </c:dPt>
          <c:dPt>
            <c:idx val="13"/>
            <c:invertIfNegative val="0"/>
            <c:bubble3D val="0"/>
            <c:spPr>
              <a:solidFill>
                <a:srgbClr val="CCCCFF"/>
              </a:solidFill>
              <a:ln w="7825">
                <a:solidFill>
                  <a:srgbClr val="000000"/>
                </a:solidFill>
                <a:prstDash val="solid"/>
              </a:ln>
            </c:spPr>
          </c:dPt>
          <c:dPt>
            <c:idx val="14"/>
            <c:invertIfNegative val="0"/>
            <c:bubble3D val="0"/>
            <c:spPr>
              <a:solidFill>
                <a:srgbClr val="CCCCFF"/>
              </a:solidFill>
              <a:ln w="7825">
                <a:solidFill>
                  <a:srgbClr val="000000"/>
                </a:solidFill>
                <a:prstDash val="solid"/>
              </a:ln>
            </c:spPr>
          </c:dPt>
          <c:dPt>
            <c:idx val="15"/>
            <c:invertIfNegative val="0"/>
            <c:bubble3D val="0"/>
            <c:spPr>
              <a:solidFill>
                <a:srgbClr val="CCCCFF"/>
              </a:solidFill>
              <a:ln w="7825">
                <a:solidFill>
                  <a:srgbClr val="000000"/>
                </a:solidFill>
                <a:prstDash val="solid"/>
              </a:ln>
            </c:spPr>
          </c:dPt>
          <c:dPt>
            <c:idx val="16"/>
            <c:invertIfNegative val="0"/>
            <c:bubble3D val="0"/>
            <c:spPr>
              <a:solidFill>
                <a:srgbClr val="CCCCFF"/>
              </a:solidFill>
              <a:ln w="7825">
                <a:solidFill>
                  <a:srgbClr val="000000"/>
                </a:solidFill>
                <a:prstDash val="solid"/>
              </a:ln>
            </c:spPr>
          </c:dPt>
          <c:dPt>
            <c:idx val="17"/>
            <c:invertIfNegative val="0"/>
            <c:bubble3D val="0"/>
            <c:spPr>
              <a:solidFill>
                <a:srgbClr val="CCCCFF"/>
              </a:solidFill>
              <a:ln w="7825">
                <a:solidFill>
                  <a:srgbClr val="000000"/>
                </a:solidFill>
                <a:prstDash val="solid"/>
              </a:ln>
            </c:spPr>
          </c:dPt>
          <c:dPt>
            <c:idx val="18"/>
            <c:invertIfNegative val="0"/>
            <c:bubble3D val="0"/>
            <c:spPr>
              <a:solidFill>
                <a:srgbClr val="CCCCFF"/>
              </a:solidFill>
              <a:ln w="7825">
                <a:solidFill>
                  <a:srgbClr val="000000"/>
                </a:solidFill>
                <a:prstDash val="solid"/>
              </a:ln>
            </c:spPr>
          </c:dPt>
          <c:dPt>
            <c:idx val="19"/>
            <c:invertIfNegative val="0"/>
            <c:bubble3D val="0"/>
            <c:spPr>
              <a:solidFill>
                <a:srgbClr val="CCCCFF"/>
              </a:solidFill>
              <a:ln w="7825">
                <a:solidFill>
                  <a:srgbClr val="000000"/>
                </a:solidFill>
                <a:prstDash val="solid"/>
              </a:ln>
            </c:spPr>
          </c:dPt>
          <c:dPt>
            <c:idx val="20"/>
            <c:invertIfNegative val="0"/>
            <c:bubble3D val="0"/>
            <c:spPr>
              <a:solidFill>
                <a:srgbClr val="CCCCFF"/>
              </a:solidFill>
              <a:ln w="7825">
                <a:solidFill>
                  <a:srgbClr val="000000"/>
                </a:solidFill>
                <a:prstDash val="solid"/>
              </a:ln>
            </c:spPr>
          </c:dPt>
          <c:dPt>
            <c:idx val="21"/>
            <c:invertIfNegative val="0"/>
            <c:bubble3D val="0"/>
            <c:spPr>
              <a:solidFill>
                <a:srgbClr val="CCCCFF"/>
              </a:solidFill>
              <a:ln w="7825">
                <a:solidFill>
                  <a:srgbClr val="000000"/>
                </a:solidFill>
                <a:prstDash val="solid"/>
              </a:ln>
            </c:spPr>
          </c:dPt>
          <c:dPt>
            <c:idx val="22"/>
            <c:invertIfNegative val="0"/>
            <c:bubble3D val="0"/>
            <c:spPr>
              <a:solidFill>
                <a:srgbClr val="CCCCFF"/>
              </a:solidFill>
              <a:ln w="7825">
                <a:solidFill>
                  <a:srgbClr val="000000"/>
                </a:solidFill>
                <a:prstDash val="solid"/>
              </a:ln>
            </c:spPr>
          </c:dPt>
          <c:dPt>
            <c:idx val="23"/>
            <c:invertIfNegative val="0"/>
            <c:bubble3D val="0"/>
            <c:spPr>
              <a:solidFill>
                <a:srgbClr val="CCCCFF"/>
              </a:solidFill>
              <a:ln w="7825">
                <a:solidFill>
                  <a:srgbClr val="000000"/>
                </a:solidFill>
                <a:prstDash val="solid"/>
              </a:ln>
            </c:spPr>
          </c:dPt>
          <c:dLbls>
            <c:dLbl>
              <c:idx val="0"/>
              <c:layout>
                <c:manualLayout>
                  <c:x val="6.4145680184472392E-3"/>
                  <c:y val="2.9750452319547982E-3"/>
                </c:manualLayout>
              </c:layout>
              <c:tx>
                <c:rich>
                  <a:bodyPr/>
                  <a:lstStyle/>
                  <a:p>
                    <a:pPr>
                      <a:defRPr sz="277" b="0" i="0" u="none" strike="noStrike" baseline="0">
                        <a:solidFill>
                          <a:srgbClr val="000000"/>
                        </a:solidFill>
                        <a:latin typeface="Arial"/>
                        <a:ea typeface="Arial"/>
                        <a:cs typeface="Arial"/>
                      </a:defRPr>
                    </a:pPr>
                    <a:r>
                      <a:rPr lang="en-US"/>
                      <a:t>114,6</a:t>
                    </a:r>
                  </a:p>
                </c:rich>
              </c:tx>
              <c:spPr>
                <a:noFill/>
                <a:ln w="1564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5.3034655071785702E-3"/>
                  <c:y val="-8.7457490769310142E-3"/>
                </c:manualLayout>
              </c:layout>
              <c:tx>
                <c:rich>
                  <a:bodyPr/>
                  <a:lstStyle/>
                  <a:p>
                    <a:pPr>
                      <a:defRPr sz="277" b="0" i="0" u="none" strike="noStrike" baseline="0">
                        <a:solidFill>
                          <a:srgbClr val="000000"/>
                        </a:solidFill>
                        <a:latin typeface="Arial"/>
                        <a:ea typeface="Arial"/>
                        <a:cs typeface="Arial"/>
                      </a:defRPr>
                    </a:pPr>
                    <a:r>
                      <a:rPr lang="en-US"/>
                      <a:t>126,7</a:t>
                    </a:r>
                  </a:p>
                </c:rich>
              </c:tx>
              <c:spPr>
                <a:noFill/>
                <a:ln w="15649">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1923629959099151E-3"/>
                  <c:y val="-2.5498166464982264E-3"/>
                </c:manualLayout>
              </c:layout>
              <c:spPr>
                <a:noFill/>
                <a:ln w="15649">
                  <a:noFill/>
                </a:ln>
              </c:spPr>
              <c:txPr>
                <a:bodyPr/>
                <a:lstStyle/>
                <a:p>
                  <a:pPr>
                    <a:defRPr sz="277" b="0"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3.0812604846412461E-3"/>
                  <c:y val="5.6188219595398881E-3"/>
                </c:manualLayout>
              </c:layout>
              <c:tx>
                <c:rich>
                  <a:bodyPr/>
                  <a:lstStyle/>
                  <a:p>
                    <a:pPr>
                      <a:defRPr sz="277" b="0" i="0" u="none" strike="noStrike" baseline="0">
                        <a:solidFill>
                          <a:srgbClr val="000000"/>
                        </a:solidFill>
                        <a:latin typeface="Arial"/>
                        <a:ea typeface="Arial"/>
                        <a:cs typeface="Arial"/>
                      </a:defRPr>
                    </a:pPr>
                    <a:r>
                      <a:rPr lang="en-US"/>
                      <a:t>115,5</a:t>
                    </a:r>
                  </a:p>
                </c:rich>
              </c:tx>
              <c:spPr>
                <a:noFill/>
                <a:ln w="15649">
                  <a:noFill/>
                </a:ln>
              </c:spPr>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1.9701579733726049E-3"/>
                  <c:y val="-6.9482781488680589E-4"/>
                </c:manualLayout>
              </c:layout>
              <c:tx>
                <c:rich>
                  <a:bodyPr/>
                  <a:lstStyle/>
                  <a:p>
                    <a:pPr>
                      <a:defRPr sz="277" b="0" i="0" u="none" strike="noStrike" baseline="0">
                        <a:solidFill>
                          <a:srgbClr val="000000"/>
                        </a:solidFill>
                        <a:latin typeface="Arial"/>
                        <a:ea typeface="Arial"/>
                        <a:cs typeface="Arial"/>
                      </a:defRPr>
                    </a:pPr>
                    <a:r>
                      <a:rPr lang="en-US"/>
                      <a:t>135,5</a:t>
                    </a:r>
                  </a:p>
                </c:rich>
              </c:tx>
              <c:spPr>
                <a:noFill/>
                <a:ln w="15649">
                  <a:noFill/>
                </a:ln>
              </c:spPr>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1.0033054927767016E-2"/>
                  <c:y val="-5.3909216917582409E-3"/>
                </c:manualLayout>
              </c:layout>
              <c:tx>
                <c:rich>
                  <a:bodyPr/>
                  <a:lstStyle/>
                  <a:p>
                    <a:pPr>
                      <a:defRPr sz="277" b="0" i="0" u="none" strike="noStrike" baseline="0">
                        <a:solidFill>
                          <a:srgbClr val="000000"/>
                        </a:solidFill>
                        <a:latin typeface="Arial"/>
                        <a:ea typeface="Arial"/>
                        <a:cs typeface="Arial"/>
                      </a:defRPr>
                    </a:pPr>
                    <a:r>
                      <a:rPr lang="en-US"/>
                      <a:t>136,2</a:t>
                    </a:r>
                  </a:p>
                </c:rich>
              </c:tx>
              <c:spPr>
                <a:noFill/>
                <a:ln w="15649">
                  <a:noFill/>
                </a:ln>
              </c:spPr>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2.8057444654280839E-3"/>
                  <c:y val="3.0540063201364986E-3"/>
                </c:manualLayout>
              </c:layout>
              <c:tx>
                <c:rich>
                  <a:bodyPr/>
                  <a:lstStyle/>
                  <a:p>
                    <a:pPr>
                      <a:defRPr sz="277" b="0" i="0" u="none" strike="noStrike" baseline="0">
                        <a:solidFill>
                          <a:srgbClr val="000000"/>
                        </a:solidFill>
                        <a:latin typeface="Arial"/>
                        <a:ea typeface="Arial"/>
                        <a:cs typeface="Arial"/>
                      </a:defRPr>
                    </a:pPr>
                    <a:r>
                      <a:rPr lang="en-US"/>
                      <a:t>128,0</a:t>
                    </a:r>
                  </a:p>
                </c:rich>
              </c:tx>
              <c:spPr>
                <a:noFill/>
                <a:ln w="15649">
                  <a:noFill/>
                </a:ln>
              </c:spPr>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1.0868953880764864E-2"/>
                  <c:y val="-4.5228477648531773E-3"/>
                </c:manualLayout>
              </c:layout>
              <c:tx>
                <c:rich>
                  <a:bodyPr/>
                  <a:lstStyle/>
                  <a:p>
                    <a:pPr>
                      <a:defRPr sz="277" b="0" i="0" u="none" strike="noStrike" baseline="0">
                        <a:solidFill>
                          <a:srgbClr val="000000"/>
                        </a:solidFill>
                        <a:latin typeface="Arial"/>
                        <a:ea typeface="Arial"/>
                        <a:cs typeface="Arial"/>
                      </a:defRPr>
                    </a:pPr>
                    <a:r>
                      <a:rPr lang="en-US"/>
                      <a:t>115,6</a:t>
                    </a:r>
                  </a:p>
                </c:rich>
              </c:tx>
              <c:spPr>
                <a:noFill/>
                <a:ln w="15649">
                  <a:noFill/>
                </a:ln>
              </c:spPr>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6.6997473939610641E-3"/>
                  <c:y val="-1.9182767466033313E-3"/>
                </c:manualLayout>
              </c:layout>
              <c:tx>
                <c:rich>
                  <a:bodyPr/>
                  <a:lstStyle/>
                  <a:p>
                    <a:pPr>
                      <a:defRPr sz="277" b="0" i="0" u="none" strike="noStrike" baseline="0">
                        <a:solidFill>
                          <a:srgbClr val="000000"/>
                        </a:solidFill>
                        <a:latin typeface="Arial"/>
                        <a:ea typeface="Arial"/>
                        <a:cs typeface="Arial"/>
                      </a:defRPr>
                    </a:pPr>
                    <a:r>
                      <a:rPr lang="en-US"/>
                      <a:t>109,8</a:t>
                    </a:r>
                  </a:p>
                </c:rich>
              </c:tx>
              <c:spPr>
                <a:noFill/>
                <a:ln w="15649">
                  <a:noFill/>
                </a:ln>
              </c:spPr>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1.1704852833762713E-2"/>
                  <c:y val="-1.2475311373732478E-3"/>
                </c:manualLayout>
              </c:layout>
              <c:tx>
                <c:rich>
                  <a:bodyPr/>
                  <a:lstStyle/>
                  <a:p>
                    <a:pPr>
                      <a:defRPr sz="277" b="0" i="0" u="none" strike="noStrike" baseline="0">
                        <a:solidFill>
                          <a:srgbClr val="000000"/>
                        </a:solidFill>
                        <a:latin typeface="Arial"/>
                        <a:ea typeface="Arial"/>
                        <a:cs typeface="Arial"/>
                      </a:defRPr>
                    </a:pPr>
                    <a:r>
                      <a:rPr lang="en-US"/>
                      <a:t>111,7</a:t>
                    </a:r>
                  </a:p>
                </c:rich>
              </c:tx>
              <c:spPr>
                <a:noFill/>
                <a:ln w="1564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0"/>
              <c:layout>
                <c:manualLayout>
                  <c:x val="7.535646346958913E-3"/>
                  <c:y val="-5.7068662604730092E-3"/>
                </c:manualLayout>
              </c:layout>
              <c:tx>
                <c:rich>
                  <a:bodyPr/>
                  <a:lstStyle/>
                  <a:p>
                    <a:pPr>
                      <a:defRPr sz="277" b="0" i="0" u="none" strike="noStrike" baseline="0">
                        <a:solidFill>
                          <a:srgbClr val="000000"/>
                        </a:solidFill>
                        <a:latin typeface="Arial"/>
                        <a:ea typeface="Arial"/>
                        <a:cs typeface="Arial"/>
                      </a:defRPr>
                    </a:pPr>
                    <a:r>
                      <a:rPr lang="en-US"/>
                      <a:t>110,6</a:t>
                    </a:r>
                  </a:p>
                </c:rich>
              </c:tx>
              <c:spPr>
                <a:noFill/>
                <a:ln w="1564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1"/>
              <c:layout>
                <c:manualLayout>
                  <c:x val="9.4823353502830887E-3"/>
                  <c:y val="3.4090320874132496E-3"/>
                </c:manualLayout>
              </c:layout>
              <c:tx>
                <c:rich>
                  <a:bodyPr/>
                  <a:lstStyle/>
                  <a:p>
                    <a:pPr>
                      <a:defRPr sz="277" b="0" i="0" u="none" strike="noStrike" baseline="0">
                        <a:solidFill>
                          <a:srgbClr val="000000"/>
                        </a:solidFill>
                        <a:latin typeface="Arial"/>
                        <a:ea typeface="Arial"/>
                        <a:cs typeface="Arial"/>
                      </a:defRPr>
                    </a:pPr>
                    <a:r>
                      <a:rPr lang="en-US"/>
                      <a:t>118,3</a:t>
                    </a:r>
                  </a:p>
                </c:rich>
              </c:tx>
              <c:spPr>
                <a:noFill/>
                <a:ln w="1564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2"/>
              <c:layout>
                <c:manualLayout>
                  <c:x val="5.3130858642669665E-3"/>
                  <c:y val="1.2788610847727803E-2"/>
                </c:manualLayout>
              </c:layout>
              <c:tx>
                <c:rich>
                  <a:bodyPr/>
                  <a:lstStyle/>
                  <a:p>
                    <a:pPr>
                      <a:defRPr sz="277" b="0" i="0" u="none" strike="noStrike" baseline="0">
                        <a:solidFill>
                          <a:srgbClr val="000000"/>
                        </a:solidFill>
                        <a:latin typeface="Arial"/>
                        <a:ea typeface="Arial"/>
                        <a:cs typeface="Arial"/>
                      </a:defRPr>
                    </a:pPr>
                    <a:r>
                      <a:rPr lang="en-US"/>
                      <a:t>116,7</a:t>
                    </a:r>
                  </a:p>
                </c:rich>
              </c:tx>
              <c:spPr>
                <a:noFill/>
                <a:ln w="1564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3"/>
              <c:layout>
                <c:manualLayout>
                  <c:x val="1.2119044179110583E-2"/>
                  <c:y val="3.0571497616339927E-2"/>
                </c:manualLayout>
              </c:layout>
              <c:tx>
                <c:rich>
                  <a:bodyPr/>
                  <a:lstStyle/>
                  <a:p>
                    <a:pPr>
                      <a:defRPr sz="277" b="0" i="0" u="none" strike="noStrike" baseline="0">
                        <a:solidFill>
                          <a:srgbClr val="000000"/>
                        </a:solidFill>
                        <a:latin typeface="Arial"/>
                        <a:ea typeface="Arial"/>
                        <a:cs typeface="Arial"/>
                      </a:defRPr>
                    </a:pPr>
                    <a:r>
                      <a:rPr lang="en-US"/>
                      <a:t>95,9</a:t>
                    </a:r>
                  </a:p>
                </c:rich>
              </c:tx>
              <c:spPr>
                <a:noFill/>
                <a:ln w="1564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4"/>
              <c:layout>
                <c:manualLayout>
                  <c:x val="1.1007941667842025E-2"/>
                  <c:y val="2.938747912072015E-2"/>
                </c:manualLayout>
              </c:layout>
              <c:tx>
                <c:rich>
                  <a:bodyPr/>
                  <a:lstStyle/>
                  <a:p>
                    <a:pPr>
                      <a:defRPr sz="277" b="0" i="0" u="none" strike="noStrike" baseline="0">
                        <a:solidFill>
                          <a:srgbClr val="000000"/>
                        </a:solidFill>
                        <a:latin typeface="Arial"/>
                        <a:ea typeface="Arial"/>
                        <a:cs typeface="Arial"/>
                      </a:defRPr>
                    </a:pPr>
                    <a:r>
                      <a:rPr lang="en-US"/>
                      <a:t>96,4</a:t>
                    </a:r>
                  </a:p>
                </c:rich>
              </c:tx>
              <c:spPr>
                <a:noFill/>
                <a:ln w="1564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5"/>
              <c:layout>
                <c:manualLayout>
                  <c:x val="1.2954943132108432E-2"/>
                  <c:y val="2.3191871633037042E-2"/>
                </c:manualLayout>
              </c:layout>
              <c:tx>
                <c:rich>
                  <a:bodyPr/>
                  <a:lstStyle/>
                  <a:p>
                    <a:pPr>
                      <a:defRPr sz="277" b="0" i="0" u="none" strike="noStrike" baseline="0">
                        <a:solidFill>
                          <a:srgbClr val="000000"/>
                        </a:solidFill>
                        <a:latin typeface="Arial"/>
                        <a:ea typeface="Arial"/>
                        <a:cs typeface="Arial"/>
                      </a:defRPr>
                    </a:pPr>
                    <a:r>
                      <a:rPr lang="en-US"/>
                      <a:t>97,2</a:t>
                    </a:r>
                  </a:p>
                </c:rich>
              </c:tx>
              <c:spPr>
                <a:noFill/>
                <a:ln w="1564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6"/>
              <c:layout>
                <c:manualLayout>
                  <c:x val="6.9650668666416697E-3"/>
                  <c:y val="2.3082271784089815E-2"/>
                </c:manualLayout>
              </c:layout>
              <c:tx>
                <c:rich>
                  <a:bodyPr/>
                  <a:lstStyle/>
                  <a:p>
                    <a:pPr>
                      <a:defRPr sz="277" b="0" i="0" u="none" strike="noStrike" baseline="0">
                        <a:solidFill>
                          <a:srgbClr val="000000"/>
                        </a:solidFill>
                        <a:latin typeface="Arial"/>
                        <a:ea typeface="Arial"/>
                        <a:cs typeface="Arial"/>
                      </a:defRPr>
                    </a:pPr>
                    <a:r>
                      <a:rPr lang="en-US"/>
                      <a:t>83,0</a:t>
                    </a:r>
                  </a:p>
                </c:rich>
              </c:tx>
              <c:spPr>
                <a:noFill/>
                <a:ln w="1564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7"/>
              <c:layout>
                <c:manualLayout>
                  <c:x val="1.6848633599699125E-2"/>
                  <c:y val="2.5914609448803749E-2"/>
                </c:manualLayout>
              </c:layout>
              <c:tx>
                <c:rich>
                  <a:bodyPr/>
                  <a:lstStyle/>
                  <a:p>
                    <a:pPr>
                      <a:defRPr sz="277" b="0" i="0" u="none" strike="noStrike" baseline="0">
                        <a:solidFill>
                          <a:srgbClr val="000000"/>
                        </a:solidFill>
                        <a:latin typeface="Arial"/>
                        <a:ea typeface="Arial"/>
                        <a:cs typeface="Arial"/>
                      </a:defRPr>
                    </a:pPr>
                    <a:r>
                      <a:rPr lang="en-US"/>
                      <a:t>82,2</a:t>
                    </a:r>
                  </a:p>
                </c:rich>
              </c:tx>
              <c:spPr>
                <a:noFill/>
                <a:ln w="1564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8"/>
              <c:layout>
                <c:manualLayout>
                  <c:x val="1.8795635063965532E-2"/>
                  <c:y val="3.2544528734694933E-2"/>
                </c:manualLayout>
              </c:layout>
              <c:tx>
                <c:rich>
                  <a:bodyPr/>
                  <a:lstStyle/>
                  <a:p>
                    <a:pPr>
                      <a:defRPr sz="277" b="0" i="0" u="none" strike="noStrike" baseline="0">
                        <a:solidFill>
                          <a:srgbClr val="000000"/>
                        </a:solidFill>
                        <a:latin typeface="Arial"/>
                        <a:ea typeface="Arial"/>
                        <a:cs typeface="Arial"/>
                      </a:defRPr>
                    </a:pPr>
                    <a:r>
                      <a:rPr lang="en-US"/>
                      <a:t>90,4</a:t>
                    </a:r>
                  </a:p>
                </c:rich>
              </c:tx>
              <c:spPr>
                <a:noFill/>
                <a:ln w="1564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9"/>
              <c:layout>
                <c:manualLayout>
                  <c:x val="1.1568324601626601E-2"/>
                  <c:y val="2.1376313237522315E-2"/>
                </c:manualLayout>
              </c:layout>
              <c:tx>
                <c:rich>
                  <a:bodyPr/>
                  <a:lstStyle/>
                  <a:p>
                    <a:pPr>
                      <a:defRPr sz="277" b="0" i="0" u="none" strike="noStrike" baseline="0">
                        <a:solidFill>
                          <a:srgbClr val="000000"/>
                        </a:solidFill>
                        <a:latin typeface="Arial"/>
                        <a:ea typeface="Arial"/>
                        <a:cs typeface="Arial"/>
                      </a:defRPr>
                    </a:pPr>
                    <a:r>
                      <a:rPr lang="en-US"/>
                      <a:t>96,4</a:t>
                    </a:r>
                  </a:p>
                </c:rich>
              </c:tx>
              <c:spPr>
                <a:noFill/>
                <a:ln w="15649">
                  <a:noFill/>
                </a:ln>
              </c:spPr>
              <c:dLblPos val="outEnd"/>
              <c:showLegendKey val="0"/>
              <c:showVal val="0"/>
              <c:showCatName val="0"/>
              <c:showSerName val="0"/>
              <c:showPercent val="0"/>
              <c:showBubbleSize val="0"/>
              <c:extLst>
                <c:ext xmlns:c15="http://schemas.microsoft.com/office/drawing/2012/chart" uri="{CE6537A1-D6FC-4f65-9D91-7224C49458BB}"/>
              </c:extLst>
            </c:dLbl>
            <c:dLbl>
              <c:idx val="20"/>
              <c:layout>
                <c:manualLayout>
                  <c:x val="5.578677665291693E-3"/>
                  <c:y val="2.7375190666611763E-2"/>
                </c:manualLayout>
              </c:layout>
              <c:tx>
                <c:rich>
                  <a:bodyPr/>
                  <a:lstStyle/>
                  <a:p>
                    <a:pPr>
                      <a:defRPr sz="277" b="0" i="0" u="none" strike="noStrike" baseline="0">
                        <a:solidFill>
                          <a:srgbClr val="000000"/>
                        </a:solidFill>
                        <a:latin typeface="Arial"/>
                        <a:ea typeface="Arial"/>
                        <a:cs typeface="Arial"/>
                      </a:defRPr>
                    </a:pPr>
                    <a:r>
                      <a:rPr lang="en-US"/>
                      <a:t>99,9</a:t>
                    </a:r>
                  </a:p>
                </c:rich>
              </c:tx>
              <c:spPr>
                <a:noFill/>
                <a:ln w="15649">
                  <a:noFill/>
                </a:ln>
              </c:spPr>
              <c:dLblPos val="outEnd"/>
              <c:showLegendKey val="0"/>
              <c:showVal val="0"/>
              <c:showCatName val="0"/>
              <c:showSerName val="0"/>
              <c:showPercent val="0"/>
              <c:showBubbleSize val="0"/>
              <c:extLst>
                <c:ext xmlns:c15="http://schemas.microsoft.com/office/drawing/2012/chart" uri="{CE6537A1-D6FC-4f65-9D91-7224C49458BB}"/>
              </c:extLst>
            </c:dLbl>
            <c:dLbl>
              <c:idx val="21"/>
              <c:layout>
                <c:manualLayout>
                  <c:x val="1.0583989501312336E-2"/>
                  <c:y val="1.541822978933916E-2"/>
                </c:manualLayout>
              </c:layout>
              <c:tx>
                <c:rich>
                  <a:bodyPr/>
                  <a:lstStyle/>
                  <a:p>
                    <a:pPr>
                      <a:defRPr sz="277" b="0" i="0" u="none" strike="noStrike" baseline="0">
                        <a:solidFill>
                          <a:srgbClr val="000000"/>
                        </a:solidFill>
                        <a:latin typeface="Arial"/>
                        <a:ea typeface="Arial"/>
                        <a:cs typeface="Arial"/>
                      </a:defRPr>
                    </a:pPr>
                    <a:r>
                      <a:rPr lang="en-US"/>
                      <a:t>99,9</a:t>
                    </a:r>
                  </a:p>
                </c:rich>
              </c:tx>
              <c:spPr>
                <a:noFill/>
                <a:ln w="15649">
                  <a:noFill/>
                </a:ln>
              </c:spPr>
              <c:dLblPos val="outEnd"/>
              <c:showLegendKey val="0"/>
              <c:showVal val="0"/>
              <c:showCatName val="0"/>
              <c:showSerName val="0"/>
              <c:showPercent val="0"/>
              <c:showBubbleSize val="0"/>
              <c:extLst>
                <c:ext xmlns:c15="http://schemas.microsoft.com/office/drawing/2012/chart" uri="{CE6537A1-D6FC-4f65-9D91-7224C49458BB}"/>
              </c:extLst>
            </c:dLbl>
            <c:dLbl>
              <c:idx val="22"/>
              <c:tx>
                <c:rich>
                  <a:bodyPr/>
                  <a:lstStyle/>
                  <a:p>
                    <a:pPr>
                      <a:defRPr sz="277" b="0" i="0" u="none" strike="noStrike" baseline="0">
                        <a:solidFill>
                          <a:srgbClr val="000000"/>
                        </a:solidFill>
                        <a:latin typeface="Arial"/>
                        <a:ea typeface="Arial"/>
                        <a:cs typeface="Arial"/>
                      </a:defRPr>
                    </a:pPr>
                    <a:r>
                      <a:rPr lang="en-US"/>
                      <a:t>102,0</a:t>
                    </a:r>
                  </a:p>
                </c:rich>
              </c:tx>
              <c:spPr>
                <a:noFill/>
                <a:ln w="15649">
                  <a:noFill/>
                </a:ln>
              </c:spPr>
              <c:dLblPos val="outEnd"/>
              <c:showLegendKey val="0"/>
              <c:showVal val="0"/>
              <c:showCatName val="0"/>
              <c:showSerName val="0"/>
              <c:showPercent val="0"/>
              <c:showBubbleSize val="0"/>
              <c:extLst>
                <c:ext xmlns:c15="http://schemas.microsoft.com/office/drawing/2012/chart" uri="{CE6537A1-D6FC-4f65-9D91-7224C49458BB}"/>
              </c:extLst>
            </c:dLbl>
            <c:dLbl>
              <c:idx val="23"/>
              <c:tx>
                <c:rich>
                  <a:bodyPr/>
                  <a:lstStyle/>
                  <a:p>
                    <a:pPr>
                      <a:defRPr sz="277" b="0" i="0" u="none" strike="noStrike" baseline="0">
                        <a:solidFill>
                          <a:srgbClr val="000000"/>
                        </a:solidFill>
                        <a:latin typeface="Arial"/>
                        <a:ea typeface="Arial"/>
                        <a:cs typeface="Arial"/>
                      </a:defRPr>
                    </a:pPr>
                    <a:r>
                      <a:rPr lang="en-US"/>
                      <a:t>96,9</a:t>
                    </a:r>
                  </a:p>
                </c:rich>
              </c:tx>
              <c:spPr>
                <a:noFill/>
                <a:ln w="15649">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15649">
                <a:noFill/>
              </a:ln>
            </c:spPr>
            <c:txPr>
              <a:bodyPr wrap="square" lIns="38100" tIns="19050" rIns="38100" bIns="19050" anchor="ctr">
                <a:spAutoFit/>
              </a:bodyPr>
              <a:lstStyle/>
              <a:p>
                <a:pPr>
                  <a:defRPr sz="277"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Sheet1!$B$1:$Y$1</c:f>
              <c:strCache>
                <c:ptCount val="24"/>
                <c:pt idx="0">
                  <c:v>I</c:v>
                </c:pt>
                <c:pt idx="1">
                  <c:v>I-II</c:v>
                </c:pt>
                <c:pt idx="2">
                  <c:v>I-III</c:v>
                </c:pt>
                <c:pt idx="3">
                  <c:v>I-IV</c:v>
                </c:pt>
                <c:pt idx="4">
                  <c:v>I-V</c:v>
                </c:pt>
                <c:pt idx="5">
                  <c:v>I-VI</c:v>
                </c:pt>
                <c:pt idx="6">
                  <c:v>I-VII</c:v>
                </c:pt>
                <c:pt idx="7">
                  <c:v>I-VIII</c:v>
                </c:pt>
                <c:pt idx="8">
                  <c:v>I-IX</c:v>
                </c:pt>
                <c:pt idx="9">
                  <c:v>I-X</c:v>
                </c:pt>
                <c:pt idx="10">
                  <c:v>I-XI</c:v>
                </c:pt>
                <c:pt idx="11">
                  <c:v>I-XII</c:v>
                </c:pt>
                <c:pt idx="12">
                  <c:v>I</c:v>
                </c:pt>
                <c:pt idx="13">
                  <c:v>I-II</c:v>
                </c:pt>
                <c:pt idx="14">
                  <c:v>I-III</c:v>
                </c:pt>
                <c:pt idx="15">
                  <c:v>I-IV</c:v>
                </c:pt>
                <c:pt idx="16">
                  <c:v>I-V</c:v>
                </c:pt>
                <c:pt idx="17">
                  <c:v>I-VI</c:v>
                </c:pt>
                <c:pt idx="18">
                  <c:v>I-VII</c:v>
                </c:pt>
                <c:pt idx="19">
                  <c:v>I-VIII</c:v>
                </c:pt>
                <c:pt idx="20">
                  <c:v>I-IX</c:v>
                </c:pt>
                <c:pt idx="21">
                  <c:v>I-X</c:v>
                </c:pt>
                <c:pt idx="22">
                  <c:v>I-XI</c:v>
                </c:pt>
                <c:pt idx="23">
                  <c:v>I-XII</c:v>
                </c:pt>
              </c:strCache>
            </c:strRef>
          </c:cat>
          <c:val>
            <c:numRef>
              <c:f>Sheet1!$B$2:$Y$2</c:f>
              <c:numCache>
                <c:formatCode>General</c:formatCode>
                <c:ptCount val="24"/>
                <c:pt idx="0">
                  <c:v>114.6</c:v>
                </c:pt>
                <c:pt idx="1">
                  <c:v>126.7</c:v>
                </c:pt>
                <c:pt idx="2">
                  <c:v>114.6</c:v>
                </c:pt>
                <c:pt idx="3">
                  <c:v>115.5</c:v>
                </c:pt>
                <c:pt idx="4">
                  <c:v>135.5</c:v>
                </c:pt>
                <c:pt idx="5">
                  <c:v>136.19999999999999</c:v>
                </c:pt>
                <c:pt idx="6">
                  <c:v>128</c:v>
                </c:pt>
                <c:pt idx="7">
                  <c:v>115.6</c:v>
                </c:pt>
                <c:pt idx="8">
                  <c:v>109.8</c:v>
                </c:pt>
                <c:pt idx="9">
                  <c:v>111.7</c:v>
                </c:pt>
                <c:pt idx="10">
                  <c:v>110.6</c:v>
                </c:pt>
                <c:pt idx="11">
                  <c:v>118.3</c:v>
                </c:pt>
                <c:pt idx="12">
                  <c:v>116.7</c:v>
                </c:pt>
                <c:pt idx="13">
                  <c:v>92.9</c:v>
                </c:pt>
                <c:pt idx="14">
                  <c:v>96.4</c:v>
                </c:pt>
                <c:pt idx="15">
                  <c:v>97.2</c:v>
                </c:pt>
                <c:pt idx="16">
                  <c:v>83</c:v>
                </c:pt>
                <c:pt idx="17">
                  <c:v>82.2</c:v>
                </c:pt>
                <c:pt idx="18">
                  <c:v>90.4</c:v>
                </c:pt>
                <c:pt idx="19">
                  <c:v>96.4</c:v>
                </c:pt>
                <c:pt idx="20">
                  <c:v>99.9</c:v>
                </c:pt>
                <c:pt idx="21">
                  <c:v>99.9</c:v>
                </c:pt>
                <c:pt idx="22">
                  <c:v>102</c:v>
                </c:pt>
                <c:pt idx="23">
                  <c:v>96.9</c:v>
                </c:pt>
              </c:numCache>
            </c:numRef>
          </c:val>
        </c:ser>
        <c:dLbls>
          <c:showLegendKey val="0"/>
          <c:showVal val="0"/>
          <c:showCatName val="0"/>
          <c:showSerName val="0"/>
          <c:showPercent val="0"/>
          <c:showBubbleSize val="0"/>
        </c:dLbls>
        <c:gapWidth val="150"/>
        <c:axId val="673270456"/>
        <c:axId val="673271632"/>
      </c:barChart>
      <c:catAx>
        <c:axId val="673270456"/>
        <c:scaling>
          <c:orientation val="minMax"/>
        </c:scaling>
        <c:delete val="0"/>
        <c:axPos val="b"/>
        <c:title>
          <c:tx>
            <c:rich>
              <a:bodyPr/>
              <a:lstStyle/>
              <a:p>
                <a:pPr>
                  <a:defRPr sz="369" b="1" i="0" u="none" strike="noStrike" baseline="0">
                    <a:solidFill>
                      <a:srgbClr val="000000"/>
                    </a:solidFill>
                    <a:latin typeface="Arial"/>
                    <a:ea typeface="Arial"/>
                    <a:cs typeface="Arial"/>
                  </a:defRPr>
                </a:pPr>
                <a:r>
                  <a:rPr lang="ru-RU"/>
                  <a:t>2018                                                                               2019</a:t>
                </a:r>
              </a:p>
            </c:rich>
          </c:tx>
          <c:layout>
            <c:manualLayout>
              <c:xMode val="edge"/>
              <c:yMode val="edge"/>
              <c:x val="0.3792048693299841"/>
              <c:y val="0.83425414364640882"/>
            </c:manualLayout>
          </c:layout>
          <c:overlay val="0"/>
          <c:spPr>
            <a:noFill/>
            <a:ln w="15649">
              <a:noFill/>
            </a:ln>
          </c:spPr>
        </c:title>
        <c:numFmt formatCode="General" sourceLinked="1"/>
        <c:majorTickMark val="out"/>
        <c:minorTickMark val="none"/>
        <c:tickLblPos val="low"/>
        <c:spPr>
          <a:ln w="1956">
            <a:solidFill>
              <a:srgbClr val="000000"/>
            </a:solidFill>
            <a:prstDash val="solid"/>
          </a:ln>
        </c:spPr>
        <c:txPr>
          <a:bodyPr rot="0" vert="horz"/>
          <a:lstStyle/>
          <a:p>
            <a:pPr>
              <a:defRPr sz="245" b="0" i="0" u="none" strike="noStrike" baseline="0">
                <a:solidFill>
                  <a:srgbClr val="000000"/>
                </a:solidFill>
                <a:latin typeface="Arial"/>
                <a:ea typeface="Arial"/>
                <a:cs typeface="Arial"/>
              </a:defRPr>
            </a:pPr>
            <a:endParaRPr lang="ru-RU"/>
          </a:p>
        </c:txPr>
        <c:crossAx val="673271632"/>
        <c:crossesAt val="100"/>
        <c:auto val="1"/>
        <c:lblAlgn val="ctr"/>
        <c:lblOffset val="100"/>
        <c:tickLblSkip val="1"/>
        <c:tickMarkSkip val="1"/>
        <c:noMultiLvlLbl val="0"/>
      </c:catAx>
      <c:valAx>
        <c:axId val="673271632"/>
        <c:scaling>
          <c:orientation val="minMax"/>
          <c:max val="140"/>
          <c:min val="70"/>
        </c:scaling>
        <c:delete val="0"/>
        <c:axPos val="l"/>
        <c:numFmt formatCode="General" sourceLinked="1"/>
        <c:majorTickMark val="out"/>
        <c:minorTickMark val="none"/>
        <c:tickLblPos val="nextTo"/>
        <c:spPr>
          <a:ln w="1956">
            <a:solidFill>
              <a:srgbClr val="000000"/>
            </a:solidFill>
            <a:prstDash val="solid"/>
          </a:ln>
        </c:spPr>
        <c:txPr>
          <a:bodyPr rot="0" vert="horz"/>
          <a:lstStyle/>
          <a:p>
            <a:pPr>
              <a:defRPr sz="291" b="0" i="0" u="none" strike="noStrike" baseline="0">
                <a:solidFill>
                  <a:srgbClr val="000000"/>
                </a:solidFill>
                <a:latin typeface="Arial"/>
                <a:ea typeface="Arial"/>
                <a:cs typeface="Arial"/>
              </a:defRPr>
            </a:pPr>
            <a:endParaRPr lang="ru-RU"/>
          </a:p>
        </c:txPr>
        <c:crossAx val="673270456"/>
        <c:crosses val="autoZero"/>
        <c:crossBetween val="between"/>
        <c:majorUnit val="10"/>
        <c:minorUnit val="5"/>
      </c:valAx>
      <c:spPr>
        <a:solidFill>
          <a:srgbClr val="FFFFFF"/>
        </a:solidFill>
        <a:ln w="15649">
          <a:noFill/>
        </a:ln>
      </c:spPr>
    </c:plotArea>
    <c:plotVisOnly val="1"/>
    <c:dispBlanksAs val="gap"/>
    <c:showDLblsOverMax val="0"/>
  </c:chart>
  <c:spPr>
    <a:noFill/>
    <a:ln>
      <a:noFill/>
    </a:ln>
  </c:spPr>
  <c:txPr>
    <a:bodyPr/>
    <a:lstStyle/>
    <a:p>
      <a:pPr>
        <a:defRPr sz="493" b="0" i="0" u="none" strike="noStrike" baseline="0">
          <a:solidFill>
            <a:srgbClr val="000000"/>
          </a:solidFill>
          <a:latin typeface="Arial"/>
          <a:ea typeface="Arial"/>
          <a:cs typeface="Arial"/>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44</TotalTime>
  <Pages>3</Pages>
  <Words>659</Words>
  <Characters>3760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Barabaev</dc:creator>
  <cp:keywords/>
  <dc:description/>
  <cp:lastModifiedBy>Barabaev</cp:lastModifiedBy>
  <cp:revision>9</cp:revision>
  <dcterms:created xsi:type="dcterms:W3CDTF">2020-02-10T12:37:00Z</dcterms:created>
  <dcterms:modified xsi:type="dcterms:W3CDTF">2020-02-10T13:24:00Z</dcterms:modified>
</cp:coreProperties>
</file>