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3F" w:rsidRPr="00936EC0" w:rsidRDefault="0032043F" w:rsidP="00936EC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EC0">
        <w:rPr>
          <w:rFonts w:ascii="Times New Roman" w:hAnsi="Times New Roman" w:cs="Times New Roman"/>
          <w:b/>
          <w:sz w:val="28"/>
          <w:szCs w:val="28"/>
        </w:rPr>
        <w:t xml:space="preserve">Итоги обследования </w:t>
      </w:r>
      <w:r w:rsidR="00424BF9">
        <w:rPr>
          <w:rFonts w:ascii="Times New Roman" w:hAnsi="Times New Roman" w:cs="Times New Roman"/>
          <w:b/>
          <w:sz w:val="28"/>
          <w:szCs w:val="28"/>
        </w:rPr>
        <w:t>хозяйствующих субъектов, оказывающих услуги по зимним видам туризма</w:t>
      </w:r>
      <w:r w:rsidR="00CC3148" w:rsidRPr="00936EC0">
        <w:rPr>
          <w:rFonts w:ascii="Times New Roman" w:hAnsi="Times New Roman" w:cs="Times New Roman"/>
          <w:b/>
          <w:sz w:val="28"/>
          <w:szCs w:val="28"/>
        </w:rPr>
        <w:t xml:space="preserve"> сезона 2018-2019гг.</w:t>
      </w:r>
    </w:p>
    <w:p w:rsidR="0032043F" w:rsidRPr="00936EC0" w:rsidRDefault="0032043F" w:rsidP="00936EC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616" w:rsidRPr="00936EC0" w:rsidRDefault="002F2012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Туризм в Кыргызстане провозглашен приоритетной отраслью развития экономики. Наряду с летним периодом туристического сезона и зимний туризм </w:t>
      </w:r>
      <w:r w:rsidR="004E4616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все популярнее.</w:t>
      </w:r>
      <w:r w:rsidR="0029264A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Зимний туризм – это посещение какой-либо туристической местности в з</w:t>
      </w:r>
      <w:r w:rsidR="0029264A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имнее время. Чаще всего это горнолыжные базы. Успешность отдыха в этот период года зависит от наличия снега, и самые популярные снаряжения для зимних видов отдыха: лыжи, сноуборды, коньки, санки и т.д.</w:t>
      </w:r>
    </w:p>
    <w:p w:rsidR="00754C30" w:rsidRPr="00383674" w:rsidRDefault="00B74C13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6A54DA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</w:t>
      </w:r>
      <w:r w:rsidR="00754C30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Правительства Кыргызской Республики по подготовке и проведению зимнего туристического сезона 201</w:t>
      </w:r>
      <w:r w:rsidR="000C5FC7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</w:t>
      </w:r>
      <w:r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0C5FC7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0C5FC7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383674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3674"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Вице-премьер-министром Кыргызской Республики А.С. </w:t>
      </w:r>
      <w:proofErr w:type="spellStart"/>
      <w:r w:rsidR="00383674"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Омурбековой</w:t>
      </w:r>
      <w:proofErr w:type="spellEnd"/>
      <w:r w:rsidR="00383674"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ноября 2018 года №21-4203</w:t>
      </w:r>
      <w:r w:rsidR="000C5FC7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4616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4616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Нацстатком</w:t>
      </w:r>
      <w:proofErr w:type="spellEnd"/>
      <w:r w:rsidR="004E4616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1E69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Кыргызской Республики </w:t>
      </w:r>
      <w:r w:rsidR="004E4616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проводил обследование горнолыжных баз</w:t>
      </w:r>
      <w:r w:rsidR="006A54DA" w:rsidRPr="0038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5FC7" w:rsidRPr="00383674" w:rsidRDefault="001D690F" w:rsidP="00936EC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C5FC7"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проведения обследования были проведены следующие мероприятия:</w:t>
      </w:r>
    </w:p>
    <w:p w:rsidR="00754C30" w:rsidRPr="00936EC0" w:rsidRDefault="00754C30" w:rsidP="00936EC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90F"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="005134E6"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D690F"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4E6"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«Анкета сплошного единовременного обследования хозяйствующих субъектов, оказывающих услуги по зимним видам туризма»</w:t>
      </w:r>
      <w:r w:rsidR="006C0EF9"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Анкеты согласован с Департаментом туризма при Министерство культуры, информации и туризма Кыргызской Республики и </w:t>
      </w:r>
      <w:r w:rsidR="000C5FC7"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приказом </w:t>
      </w:r>
      <w:proofErr w:type="spellStart"/>
      <w:r w:rsidR="000C5FC7" w:rsidRPr="00383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Нацстаткома</w:t>
      </w:r>
      <w:proofErr w:type="spellEnd"/>
      <w:r w:rsidR="000C5FC7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января 2019 года №8</w:t>
      </w:r>
      <w:r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FC7" w:rsidRPr="00936EC0" w:rsidRDefault="000C5FC7" w:rsidP="00936EC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сверка списка горнолыжных баз с Государственной налоговой службой при Правительстве Кыргызской Республики</w:t>
      </w:r>
      <w:r w:rsidR="009A4682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их активности в зимнем сезоне 2018-2019 годов</w:t>
      </w:r>
      <w:r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682" w:rsidRPr="00936EC0" w:rsidRDefault="009A4682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проведения обследования состояла в получении достоверной и полной статистической информации о количестве посетителей в сфере организованного и неорганизованного сектора туризма, об объемах оказываемых услуг в сфере туризма.</w:t>
      </w:r>
    </w:p>
    <w:p w:rsidR="009A4682" w:rsidRPr="00936EC0" w:rsidRDefault="000C5FC7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Обследование проводилось </w:t>
      </w:r>
      <w:r w:rsidR="009A4682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сплошным методом в период 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25 января по 10 февраля 2019</w:t>
      </w:r>
      <w:r w:rsidR="009A4682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сотрудниками территориальных органов государственной статистики.</w:t>
      </w:r>
    </w:p>
    <w:p w:rsidR="00A735B4" w:rsidRPr="00936EC0" w:rsidRDefault="00A735B4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опроса опрашивались руководители или администраторы горнолыжных баз.</w:t>
      </w:r>
    </w:p>
    <w:p w:rsidR="00D66814" w:rsidRPr="00936EC0" w:rsidRDefault="003F7CDB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Анкета обследования состоит из 13 вопросов, </w:t>
      </w:r>
      <w:r w:rsidR="000047B8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позволяют получить ряд данных, характеризующих виды оказываемых посетителям услуг, существующую инфраструктуру базы, стоимость отдельных видов услуг, а также число посетителей.</w:t>
      </w:r>
    </w:p>
    <w:p w:rsidR="00480BE0" w:rsidRPr="00936EC0" w:rsidRDefault="00EF7DFF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80BE0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роведено обследование 17 хозяйствующих субъектов (1 гостиница и 16 горнолыжных баз), из которых 8 (47 процентов) субъектов имеют </w:t>
      </w:r>
      <w:r w:rsidR="00480BE0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статус юридического лица, а 9 субъектов – статус физического лица (53 процента).</w:t>
      </w:r>
    </w:p>
    <w:p w:rsidR="00C37E07" w:rsidRPr="00936EC0" w:rsidRDefault="00480BE0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две трети обследованных субъектов, или 11 горнолыжных баз расположены в Чуйской области, 3 субъекта – в Иссык-кульской области,</w:t>
      </w:r>
      <w:r w:rsidR="00D7041B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 одной горнолыжной базе в </w:t>
      </w:r>
      <w:proofErr w:type="spellStart"/>
      <w:r w:rsidR="00D7041B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Баткенской</w:t>
      </w:r>
      <w:proofErr w:type="spellEnd"/>
      <w:r w:rsidR="00D7041B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7041B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Джалал-Абадской</w:t>
      </w:r>
      <w:proofErr w:type="spellEnd"/>
      <w:r w:rsidR="00D7041B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D7041B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Ошской</w:t>
      </w:r>
      <w:proofErr w:type="spellEnd"/>
      <w:r w:rsidR="00D7041B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областях.</w:t>
      </w:r>
    </w:p>
    <w:p w:rsidR="00022E59" w:rsidRPr="00936EC0" w:rsidRDefault="00022E59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2677"/>
        <w:gridCol w:w="2679"/>
        <w:gridCol w:w="1426"/>
      </w:tblGrid>
      <w:tr w:rsidR="00C37E07" w:rsidRPr="00936EC0" w:rsidTr="00C37E07">
        <w:trPr>
          <w:trHeight w:val="288"/>
        </w:trPr>
        <w:tc>
          <w:tcPr>
            <w:tcW w:w="1319" w:type="pct"/>
            <w:vMerge w:val="restart"/>
            <w:shd w:val="clear" w:color="auto" w:fill="auto"/>
            <w:noWrap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ky-KG"/>
              </w:rPr>
              <w:t>Регион</w:t>
            </w:r>
          </w:p>
        </w:tc>
        <w:tc>
          <w:tcPr>
            <w:tcW w:w="2907" w:type="pct"/>
            <w:gridSpan w:val="2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  <w:t>Статус хозяйствующего субъекта</w:t>
            </w:r>
          </w:p>
        </w:tc>
        <w:tc>
          <w:tcPr>
            <w:tcW w:w="774" w:type="pct"/>
            <w:vMerge w:val="restart"/>
            <w:shd w:val="clear" w:color="auto" w:fill="auto"/>
            <w:noWrap/>
            <w:hideMark/>
          </w:tcPr>
          <w:p w:rsidR="00C37E07" w:rsidRPr="00936EC0" w:rsidRDefault="00C37E07" w:rsidP="00936E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  <w:t>Всего</w:t>
            </w:r>
          </w:p>
        </w:tc>
      </w:tr>
      <w:tr w:rsidR="00C37E07" w:rsidRPr="00936EC0" w:rsidTr="00C37E07">
        <w:trPr>
          <w:trHeight w:val="288"/>
        </w:trPr>
        <w:tc>
          <w:tcPr>
            <w:tcW w:w="1319" w:type="pct"/>
            <w:vMerge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ky-KG"/>
              </w:rPr>
            </w:pPr>
          </w:p>
        </w:tc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  <w:t>Юридическое лицо</w:t>
            </w:r>
          </w:p>
        </w:tc>
        <w:tc>
          <w:tcPr>
            <w:tcW w:w="1454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  <w:t>Физическое лицо</w:t>
            </w:r>
          </w:p>
        </w:tc>
        <w:tc>
          <w:tcPr>
            <w:tcW w:w="774" w:type="pct"/>
            <w:vMerge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</w:pPr>
          </w:p>
        </w:tc>
      </w:tr>
      <w:tr w:rsidR="00C37E07" w:rsidRPr="00936EC0" w:rsidTr="00C37E07">
        <w:trPr>
          <w:trHeight w:val="288"/>
        </w:trPr>
        <w:tc>
          <w:tcPr>
            <w:tcW w:w="1319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Иссык-Кульская</w:t>
            </w:r>
          </w:p>
        </w:tc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2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3</w:t>
            </w:r>
          </w:p>
        </w:tc>
      </w:tr>
      <w:tr w:rsidR="00C37E07" w:rsidRPr="00936EC0" w:rsidTr="00C37E07">
        <w:trPr>
          <w:trHeight w:val="288"/>
        </w:trPr>
        <w:tc>
          <w:tcPr>
            <w:tcW w:w="1319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Джалал-Абадская</w:t>
            </w:r>
          </w:p>
        </w:tc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1</w:t>
            </w:r>
          </w:p>
        </w:tc>
      </w:tr>
      <w:tr w:rsidR="00C37E07" w:rsidRPr="00936EC0" w:rsidTr="00C37E07">
        <w:trPr>
          <w:trHeight w:val="288"/>
        </w:trPr>
        <w:tc>
          <w:tcPr>
            <w:tcW w:w="1319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Чуйская</w:t>
            </w:r>
          </w:p>
        </w:tc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6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5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11</w:t>
            </w:r>
          </w:p>
        </w:tc>
      </w:tr>
      <w:tr w:rsidR="00C37E07" w:rsidRPr="00936EC0" w:rsidTr="00C37E07">
        <w:trPr>
          <w:trHeight w:val="288"/>
        </w:trPr>
        <w:tc>
          <w:tcPr>
            <w:tcW w:w="1319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Ошская</w:t>
            </w:r>
          </w:p>
        </w:tc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1</w:t>
            </w:r>
          </w:p>
        </w:tc>
      </w:tr>
      <w:tr w:rsidR="00C37E07" w:rsidRPr="00936EC0" w:rsidTr="00C37E07">
        <w:trPr>
          <w:trHeight w:val="288"/>
        </w:trPr>
        <w:tc>
          <w:tcPr>
            <w:tcW w:w="1319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Баткенская</w:t>
            </w:r>
          </w:p>
        </w:tc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ky-KG"/>
              </w:rPr>
              <w:t>1</w:t>
            </w:r>
          </w:p>
        </w:tc>
      </w:tr>
      <w:tr w:rsidR="00C37E07" w:rsidRPr="00936EC0" w:rsidTr="00C37E07">
        <w:trPr>
          <w:trHeight w:val="288"/>
        </w:trPr>
        <w:tc>
          <w:tcPr>
            <w:tcW w:w="1319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  <w:t>Всего</w:t>
            </w:r>
          </w:p>
        </w:tc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  <w:t>8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  <w:t>9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C37E07" w:rsidRPr="00936EC0" w:rsidRDefault="00C37E07" w:rsidP="00936E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</w:pPr>
            <w:r w:rsidRPr="00936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ky-KG"/>
              </w:rPr>
              <w:t>17</w:t>
            </w:r>
          </w:p>
        </w:tc>
      </w:tr>
    </w:tbl>
    <w:p w:rsidR="0094090E" w:rsidRPr="00936EC0" w:rsidRDefault="00676B2B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Государственной налоговой службы </w:t>
      </w:r>
      <w:r w:rsidR="0094090E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Правительстве Кыргызской Республике на конец 2018 года имели учетную регистрацию 2</w:t>
      </w:r>
      <w:r w:rsidR="00705FA6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4090E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горнолыжных баз, из которых </w:t>
      </w:r>
      <w:r w:rsidR="00705FA6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4090E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 не действовали в связи с проводимыми в них ремонтными работами. </w:t>
      </w:r>
    </w:p>
    <w:p w:rsidR="00C37E07" w:rsidRPr="00936EC0" w:rsidRDefault="0094090E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зимний сезон 2018-2019 годов не принимали отдыхающих следующие горнолыжные базы:</w:t>
      </w:r>
    </w:p>
    <w:p w:rsidR="0094090E" w:rsidRPr="00936EC0" w:rsidRDefault="0094090E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ГБ «</w:t>
      </w:r>
      <w:proofErr w:type="spellStart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Калгоокар</w:t>
      </w:r>
      <w:proofErr w:type="spellEnd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</w:t>
      </w:r>
      <w:proofErr w:type="spellStart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Аламудунском</w:t>
      </w:r>
      <w:proofErr w:type="spellEnd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районе;</w:t>
      </w:r>
    </w:p>
    <w:p w:rsidR="00705FA6" w:rsidRPr="00936EC0" w:rsidRDefault="00705FA6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ГБ «</w:t>
      </w:r>
      <w:proofErr w:type="spellStart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Чон-Таш</w:t>
      </w:r>
      <w:proofErr w:type="spellEnd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</w:t>
      </w:r>
      <w:proofErr w:type="spellStart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Аламудунском</w:t>
      </w:r>
      <w:proofErr w:type="spellEnd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районе;</w:t>
      </w:r>
    </w:p>
    <w:p w:rsidR="0094090E" w:rsidRPr="00936EC0" w:rsidRDefault="0094090E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ГБ «</w:t>
      </w:r>
      <w:proofErr w:type="spellStart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Ноорус</w:t>
      </w:r>
      <w:proofErr w:type="spellEnd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</w:t>
      </w:r>
      <w:proofErr w:type="spellStart"/>
      <w:r w:rsidR="009A5AB3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сык-Атинском</w:t>
      </w:r>
      <w:proofErr w:type="spellEnd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районе;</w:t>
      </w:r>
    </w:p>
    <w:p w:rsidR="0094090E" w:rsidRPr="00936EC0" w:rsidRDefault="0094090E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A5AB3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 «Сосновка» в </w:t>
      </w:r>
      <w:proofErr w:type="spellStart"/>
      <w:r w:rsidR="009A5AB3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Жайылском</w:t>
      </w:r>
      <w:proofErr w:type="spellEnd"/>
      <w:r w:rsidR="009A5AB3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районе;</w:t>
      </w:r>
    </w:p>
    <w:p w:rsidR="009A5AB3" w:rsidRPr="00936EC0" w:rsidRDefault="009A5AB3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ГБ «</w:t>
      </w:r>
      <w:proofErr w:type="spellStart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Суусамыр</w:t>
      </w:r>
      <w:proofErr w:type="spellEnd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</w:t>
      </w:r>
      <w:proofErr w:type="spellStart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Жайылском</w:t>
      </w:r>
      <w:proofErr w:type="spellEnd"/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районе;</w:t>
      </w:r>
    </w:p>
    <w:p w:rsidR="009A5AB3" w:rsidRPr="00936EC0" w:rsidRDefault="009A5AB3" w:rsidP="00936EC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ГБ «Вертикаль» в Иссык-Кульском районе.</w:t>
      </w:r>
    </w:p>
    <w:p w:rsidR="009A5AB3" w:rsidRPr="00936EC0" w:rsidRDefault="009A5AB3" w:rsidP="00936EC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сезон 2018-2019 годов был открыт первым горнолыжной базой</w:t>
      </w:r>
      <w:r w:rsidR="009726AD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78C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«Каракол» </w:t>
      </w:r>
      <w:r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Иссык-Кульской области в </w:t>
      </w:r>
      <w:r w:rsidR="00FC6E6E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ноября</w:t>
      </w:r>
      <w:r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FC6E6E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Чуйской области официальное открытие </w:t>
      </w:r>
      <w:r w:rsidR="00F61149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зимнего </w:t>
      </w:r>
      <w:r w:rsidR="00FC6E6E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</w:t>
      </w:r>
      <w:r w:rsidR="00F61149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6E6E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</w:t>
      </w:r>
      <w:r w:rsidR="00F61149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2018года.</w:t>
      </w:r>
      <w:r w:rsidR="0015478C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A4E" w:rsidRPr="00936EC0" w:rsidRDefault="00D95A4E" w:rsidP="00936EC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площадь обследованных горнолыжных баз составила</w:t>
      </w:r>
      <w:r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175,1 га, протяженность общей трассы 39,5 км., а протяженность канатной </w:t>
      </w:r>
      <w:r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 22,6 км.</w:t>
      </w:r>
      <w:r w:rsidR="00705FA6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горнолыжных баз имеется 14 канатных дорог и 15 бугельных</w:t>
      </w:r>
      <w:r w:rsidR="006476BD" w:rsidRPr="00936EC0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705FA6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подъемников.</w:t>
      </w:r>
    </w:p>
    <w:p w:rsidR="002E40EB" w:rsidRPr="00936EC0" w:rsidRDefault="002E40EB" w:rsidP="00D85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Инфраструктура горнолыжных баз представлена совокупностью средст</w:t>
      </w:r>
      <w:r w:rsidR="009726AD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размещения, объектов питания, объектов 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развлекательного и иного назначения.</w:t>
      </w:r>
      <w:r w:rsidR="004808A9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2976" w:rsidRPr="00936EC0" w:rsidRDefault="00424BF9" w:rsidP="00D85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3975F6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</w:t>
      </w:r>
      <w:r w:rsidR="009726AD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62976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726AD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75F6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горнолыжных баз наход</w:t>
      </w:r>
      <w:r w:rsidR="00262976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975F6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262976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гостиниц, в которых число мест/коек составляет 503 единицы. Кроме этого, размещением туристов занимаются гостиницы, отели, гостевые дома, а также индивидуальные предприниматели, которые находятся вне территории горнолыжных баз.</w:t>
      </w:r>
      <w:r w:rsidR="00550D3A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суточная стоимость проживания в гостиницах на 1 человека варьирует от 500 сомов до 9500 сомов в сутки, а в среднем в целом составляет – 2700 сомов в сутки. </w:t>
      </w:r>
    </w:p>
    <w:p w:rsidR="00550D3A" w:rsidRPr="00936EC0" w:rsidRDefault="00550D3A" w:rsidP="00D85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по продаже готовой пищи для потребления непосредственно на месте оказывают </w:t>
      </w:r>
      <w:r w:rsidR="003975F6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предприяти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975F6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питания, 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рассчитанных на </w:t>
      </w:r>
      <w:r w:rsidR="002E40EB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723</w:t>
      </w:r>
      <w:r w:rsidR="003975F6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посадочных мест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В том числе 2 ресторана, 14 кафе, 2 столовые и 5 пунктов быстрого питания.</w:t>
      </w:r>
    </w:p>
    <w:p w:rsidR="00DF46A0" w:rsidRPr="00936EC0" w:rsidRDefault="00F34F87" w:rsidP="00D85254">
      <w:pPr>
        <w:spacing w:after="0" w:line="240" w:lineRule="auto"/>
        <w:ind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 на всех </w:t>
      </w:r>
      <w:r w:rsidR="00550D3A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горнолыжных базах </w:t>
      </w:r>
      <w:r w:rsidR="001212F8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 арендовать спортивный инвентарь</w:t>
      </w:r>
      <w:r w:rsidR="00550D3A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: лыжи, сноуборды, санки, баллоны и т.п</w:t>
      </w:r>
      <w:r w:rsidR="001212F8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E07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3A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A0" w:rsidRPr="00936EC0" w:rsidRDefault="00DF46A0" w:rsidP="00D85254">
      <w:pPr>
        <w:spacing w:after="0" w:line="240" w:lineRule="auto"/>
        <w:ind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6E3DAE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горнолыжных баз предоставляют услуги по прокату лыжных комплект</w:t>
      </w:r>
      <w:r w:rsidR="004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3DAE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минимальная стоимость 200 сомов, максимальная достигает 1000 сомов, в среднем по числу обследованных баз – 630 сомов. Стоимость услуг по аренде сноуборда, </w:t>
      </w:r>
      <w:r w:rsidR="00424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="006E3DAE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12 горнолыжных баз, варьирует от 500 сомов (минимум) до 1500 сомов. Услуги по прокату прочего спортивного инвентаря предоставляют 10 горнолыжных баз, где стоимость аренды находится в пределах 200-300 сомов.</w:t>
      </w:r>
    </w:p>
    <w:p w:rsidR="00D01124" w:rsidRPr="00936EC0" w:rsidRDefault="006E3DAE" w:rsidP="00D85254">
      <w:pPr>
        <w:spacing w:after="0" w:line="240" w:lineRule="auto"/>
        <w:ind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Немаловажную роль в привлечении туристов играет и стоимость абонемента </w:t>
      </w:r>
      <w:r w:rsidR="00FF2242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пользование подъемниками – </w:t>
      </w:r>
      <w:r w:rsidR="00FF2242" w:rsidRPr="00936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</w:t>
      </w:r>
      <w:r w:rsidR="00FF2242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242" w:rsidRPr="00936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="00FF2242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F2242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</w:t>
      </w:r>
      <w:proofErr w:type="spellEnd"/>
      <w:r w:rsidR="00FF2242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-пасс</w:t>
      </w:r>
      <w:r w:rsidR="00FF2242" w:rsidRPr="00936EC0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FF2242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Стоимость </w:t>
      </w:r>
      <w:proofErr w:type="spellStart"/>
      <w:r w:rsidR="00FF2242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</w:t>
      </w:r>
      <w:proofErr w:type="spellEnd"/>
      <w:r w:rsidR="00FF2242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-пасс отличается для взрослых и детей. Так, стоимость </w:t>
      </w:r>
      <w:proofErr w:type="spellStart"/>
      <w:r w:rsidR="00FF2242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</w:t>
      </w:r>
      <w:proofErr w:type="spellEnd"/>
      <w:r w:rsidR="00FF2242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-пасс в период обследования для взрослых находилась в пределах от </w:t>
      </w:r>
      <w:r w:rsidR="00D01124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FF2242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1200 сомов, а для детей от 200 до 700 сомов</w:t>
      </w:r>
      <w:r w:rsidR="00D01124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Следует отметить, что превышение стоимости </w:t>
      </w:r>
      <w:proofErr w:type="spellStart"/>
      <w:r w:rsidR="00D01124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</w:t>
      </w:r>
      <w:proofErr w:type="spellEnd"/>
      <w:r w:rsidR="00D01124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-пасс для взрослых над </w:t>
      </w:r>
      <w:proofErr w:type="spellStart"/>
      <w:r w:rsidR="00D01124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</w:t>
      </w:r>
      <w:proofErr w:type="spellEnd"/>
      <w:r w:rsidR="00D01124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-пасс детским </w:t>
      </w:r>
      <w:r w:rsidR="004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разных субъектов </w:t>
      </w:r>
      <w:r w:rsidR="00D01124"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от 1,3 раза до 2,4 раза.</w:t>
      </w:r>
    </w:p>
    <w:p w:rsidR="00D01124" w:rsidRPr="00936EC0" w:rsidRDefault="00D01124" w:rsidP="00D85254">
      <w:pPr>
        <w:spacing w:after="0" w:line="240" w:lineRule="auto"/>
        <w:ind w:firstLine="708"/>
        <w:jc w:val="both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 горнолыжных базах предоставляются услуги </w:t>
      </w:r>
      <w:r w:rsidR="00571E07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инструктора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обучения новичков </w:t>
      </w:r>
      <w:r w:rsidR="00572D2C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технике катания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Стоимость</w:t>
      </w:r>
      <w:r w:rsidR="00572D2C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</w:t>
      </w:r>
      <w:r w:rsidR="00571E07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 за час 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находится в пределах от 200 до 1500 сомов, а в </w:t>
      </w:r>
      <w:r w:rsidR="00571E07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среднем 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составляет </w:t>
      </w:r>
      <w:r w:rsidR="00571E07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800 сомов.</w:t>
      </w:r>
      <w:r w:rsidR="00F61149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3CDF" w:rsidRDefault="00103CDF" w:rsidP="00D85254">
      <w:pPr>
        <w:spacing w:after="0" w:line="240" w:lineRule="auto"/>
        <w:ind w:firstLine="708"/>
        <w:jc w:val="both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Инфраструктура обследованных </w:t>
      </w:r>
      <w:r w:rsidR="00F61149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горнолыжных баз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 также 4 бани (сауны), 4 охраняемые автостоянки и 35 общественных туалетов. Следует отметить отсутствие </w:t>
      </w:r>
      <w:r w:rsidR="00F61149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аптек и</w:t>
      </w:r>
      <w:r w:rsidR="006A54DA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F61149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аптечны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F61149"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</w:t>
      </w:r>
      <w:r w:rsidRPr="00936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ов.</w:t>
      </w:r>
    </w:p>
    <w:p w:rsidR="00383674" w:rsidRPr="00936EC0" w:rsidRDefault="00383674" w:rsidP="00D85254">
      <w:pPr>
        <w:spacing w:after="0" w:line="240" w:lineRule="auto"/>
        <w:ind w:firstLine="708"/>
        <w:jc w:val="both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4260" w:rsidRDefault="00A84260" w:rsidP="00936E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6E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3421EF" wp14:editId="7206A38A">
            <wp:extent cx="48768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3AEA30-CD6F-4196-A87C-FAE09F8D5D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4A2D" w:rsidRDefault="00D64A2D" w:rsidP="00936E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64A2D" w:rsidRPr="00936EC0" w:rsidRDefault="00D64A2D" w:rsidP="00D64A2D">
      <w:pPr>
        <w:spacing w:after="0" w:line="240" w:lineRule="auto"/>
        <w:ind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посетителей горнолыжных баз, по оценочным данным, за три зимних месяца составила 88,6 тыс. человек, из них иностранные граждане 17,6 тыс. человек. Преобладающее число посетителей приходилось на январь, что связано с новогодними праздниками и каникулами в учебных заведениях.</w:t>
      </w:r>
    </w:p>
    <w:p w:rsidR="00D64A2D" w:rsidRDefault="00D64A2D" w:rsidP="00936E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64A2D" w:rsidRDefault="00D64A2D" w:rsidP="00936E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64A2D" w:rsidRDefault="00D64A2D" w:rsidP="00936E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64A2D" w:rsidRDefault="00D64A2D" w:rsidP="00936E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64A2D" w:rsidRDefault="00D64A2D" w:rsidP="00936E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4A2D" w:rsidSect="001A1FDF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A6" w:rsidRDefault="000314A6" w:rsidP="006476BD">
      <w:pPr>
        <w:spacing w:after="0" w:line="240" w:lineRule="auto"/>
      </w:pPr>
      <w:r>
        <w:separator/>
      </w:r>
    </w:p>
  </w:endnote>
  <w:endnote w:type="continuationSeparator" w:id="0">
    <w:p w:rsidR="000314A6" w:rsidRDefault="000314A6" w:rsidP="0064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87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192F" w:rsidRPr="00FB192F" w:rsidRDefault="00FB192F" w:rsidP="00FB192F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B19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19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19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5B4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B19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A6" w:rsidRDefault="000314A6" w:rsidP="006476BD">
      <w:pPr>
        <w:spacing w:after="0" w:line="240" w:lineRule="auto"/>
      </w:pPr>
      <w:r>
        <w:separator/>
      </w:r>
    </w:p>
  </w:footnote>
  <w:footnote w:type="continuationSeparator" w:id="0">
    <w:p w:rsidR="000314A6" w:rsidRDefault="000314A6" w:rsidP="006476BD">
      <w:pPr>
        <w:spacing w:after="0" w:line="240" w:lineRule="auto"/>
      </w:pPr>
      <w:r>
        <w:continuationSeparator/>
      </w:r>
    </w:p>
  </w:footnote>
  <w:footnote w:id="1">
    <w:p w:rsidR="006476BD" w:rsidRPr="001C2149" w:rsidRDefault="006476BD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1C2149">
        <w:rPr>
          <w:rFonts w:ascii="Times New Roman" w:hAnsi="Times New Roman" w:cs="Times New Roman"/>
        </w:rPr>
        <w:t xml:space="preserve">Бугельный подъемник – это оборудование для буксирования горнолыжников и сноубордистов в гору. Обычно используются на небольших пологих склонах. </w:t>
      </w:r>
    </w:p>
  </w:footnote>
  <w:footnote w:id="2">
    <w:p w:rsidR="00FF2242" w:rsidRPr="00FF2242" w:rsidRDefault="00FF2242">
      <w:pPr>
        <w:pStyle w:val="a7"/>
      </w:pPr>
      <w:r>
        <w:rPr>
          <w:rStyle w:val="a9"/>
        </w:rPr>
        <w:footnoteRef/>
      </w:r>
      <w:r>
        <w:t xml:space="preserve"> </w:t>
      </w:r>
      <w:r w:rsidRPr="00FF2242">
        <w:rPr>
          <w:rFonts w:ascii="Times New Roman" w:eastAsia="Times New Roman" w:hAnsi="Times New Roman"/>
          <w:lang w:val="en-US" w:eastAsia="ru-RU"/>
        </w:rPr>
        <w:t>Ski</w:t>
      </w:r>
      <w:r w:rsidRPr="00FF2242">
        <w:rPr>
          <w:rFonts w:ascii="Times New Roman" w:eastAsia="Times New Roman" w:hAnsi="Times New Roman"/>
          <w:lang w:eastAsia="ru-RU"/>
        </w:rPr>
        <w:t>-</w:t>
      </w:r>
      <w:r w:rsidRPr="00FF2242">
        <w:rPr>
          <w:rFonts w:ascii="Times New Roman" w:eastAsia="Times New Roman" w:hAnsi="Times New Roman"/>
          <w:lang w:val="en-US" w:eastAsia="ru-RU"/>
        </w:rPr>
        <w:t>pass</w:t>
      </w:r>
      <w:r w:rsidRPr="00FF2242"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 w:rsidRPr="00FF2242">
        <w:rPr>
          <w:rFonts w:ascii="Times New Roman" w:eastAsia="Times New Roman" w:hAnsi="Times New Roman"/>
          <w:lang w:eastAsia="ru-RU"/>
        </w:rPr>
        <w:t>ски</w:t>
      </w:r>
      <w:proofErr w:type="spellEnd"/>
      <w:r w:rsidRPr="00FF2242">
        <w:rPr>
          <w:rFonts w:ascii="Times New Roman" w:eastAsia="Times New Roman" w:hAnsi="Times New Roman"/>
          <w:lang w:eastAsia="ru-RU"/>
        </w:rPr>
        <w:t>-пасс) разрешение или пропуск на пользование подъемниками в определенном месте для спуска на горных лыжах или сноуборде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346"/>
    <w:multiLevelType w:val="hybridMultilevel"/>
    <w:tmpl w:val="95F0B1B0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E7BC9"/>
    <w:multiLevelType w:val="hybridMultilevel"/>
    <w:tmpl w:val="7A6866E2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93577"/>
    <w:multiLevelType w:val="multilevel"/>
    <w:tmpl w:val="9B0E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00"/>
    <w:rsid w:val="000047B8"/>
    <w:rsid w:val="00022E59"/>
    <w:rsid w:val="000314A6"/>
    <w:rsid w:val="00034C46"/>
    <w:rsid w:val="000C5FC7"/>
    <w:rsid w:val="00103CDF"/>
    <w:rsid w:val="001212F8"/>
    <w:rsid w:val="0015478C"/>
    <w:rsid w:val="00181F6D"/>
    <w:rsid w:val="0018277E"/>
    <w:rsid w:val="001A1FDF"/>
    <w:rsid w:val="001C2149"/>
    <w:rsid w:val="001D690F"/>
    <w:rsid w:val="00204DFC"/>
    <w:rsid w:val="00237235"/>
    <w:rsid w:val="00262976"/>
    <w:rsid w:val="002870ED"/>
    <w:rsid w:val="0029264A"/>
    <w:rsid w:val="002B445B"/>
    <w:rsid w:val="002E40EB"/>
    <w:rsid w:val="002F2012"/>
    <w:rsid w:val="0032043F"/>
    <w:rsid w:val="00383674"/>
    <w:rsid w:val="003975F6"/>
    <w:rsid w:val="003C1D09"/>
    <w:rsid w:val="003F7CDB"/>
    <w:rsid w:val="0040629E"/>
    <w:rsid w:val="00424BF9"/>
    <w:rsid w:val="004531ED"/>
    <w:rsid w:val="00461278"/>
    <w:rsid w:val="004808A9"/>
    <w:rsid w:val="00480BE0"/>
    <w:rsid w:val="004C02F6"/>
    <w:rsid w:val="004E4616"/>
    <w:rsid w:val="004F74FA"/>
    <w:rsid w:val="00510510"/>
    <w:rsid w:val="005134E6"/>
    <w:rsid w:val="005464B2"/>
    <w:rsid w:val="00550D3A"/>
    <w:rsid w:val="00571E07"/>
    <w:rsid w:val="00572D2C"/>
    <w:rsid w:val="005E5F41"/>
    <w:rsid w:val="005F6B7D"/>
    <w:rsid w:val="006476BD"/>
    <w:rsid w:val="00676144"/>
    <w:rsid w:val="00676B2B"/>
    <w:rsid w:val="00697D67"/>
    <w:rsid w:val="006A54DA"/>
    <w:rsid w:val="006C0EF9"/>
    <w:rsid w:val="006E3DAE"/>
    <w:rsid w:val="00705FA6"/>
    <w:rsid w:val="00740E0E"/>
    <w:rsid w:val="0075399D"/>
    <w:rsid w:val="00754C30"/>
    <w:rsid w:val="00760D0B"/>
    <w:rsid w:val="007750C5"/>
    <w:rsid w:val="00783C3D"/>
    <w:rsid w:val="007870B3"/>
    <w:rsid w:val="007A03B5"/>
    <w:rsid w:val="007A4F6F"/>
    <w:rsid w:val="007C1E69"/>
    <w:rsid w:val="007E20D2"/>
    <w:rsid w:val="008558B3"/>
    <w:rsid w:val="008A6591"/>
    <w:rsid w:val="00936EC0"/>
    <w:rsid w:val="0094090E"/>
    <w:rsid w:val="00941C97"/>
    <w:rsid w:val="009726AD"/>
    <w:rsid w:val="009A4682"/>
    <w:rsid w:val="009A5AB3"/>
    <w:rsid w:val="009B7C63"/>
    <w:rsid w:val="009D68FB"/>
    <w:rsid w:val="009E1095"/>
    <w:rsid w:val="00A00F05"/>
    <w:rsid w:val="00A450D4"/>
    <w:rsid w:val="00A735B4"/>
    <w:rsid w:val="00A84260"/>
    <w:rsid w:val="00AA2EEF"/>
    <w:rsid w:val="00AC5EA9"/>
    <w:rsid w:val="00B74C13"/>
    <w:rsid w:val="00B87F00"/>
    <w:rsid w:val="00C04193"/>
    <w:rsid w:val="00C37E07"/>
    <w:rsid w:val="00C41B3B"/>
    <w:rsid w:val="00CC3148"/>
    <w:rsid w:val="00CD5B43"/>
    <w:rsid w:val="00D01124"/>
    <w:rsid w:val="00D64A2D"/>
    <w:rsid w:val="00D66814"/>
    <w:rsid w:val="00D7041B"/>
    <w:rsid w:val="00D85254"/>
    <w:rsid w:val="00D92D6A"/>
    <w:rsid w:val="00D95A4E"/>
    <w:rsid w:val="00DF46A0"/>
    <w:rsid w:val="00E13728"/>
    <w:rsid w:val="00EF7DFF"/>
    <w:rsid w:val="00F34F87"/>
    <w:rsid w:val="00F61149"/>
    <w:rsid w:val="00FB192F"/>
    <w:rsid w:val="00FC6E6E"/>
    <w:rsid w:val="00FD39FC"/>
    <w:rsid w:val="00FE2BE2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A6591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6476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476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476BD"/>
    <w:rPr>
      <w:vertAlign w:val="superscript"/>
    </w:rPr>
  </w:style>
  <w:style w:type="character" w:customStyle="1" w:styleId="w">
    <w:name w:val="w"/>
    <w:basedOn w:val="a0"/>
    <w:rsid w:val="00C41B3B"/>
  </w:style>
  <w:style w:type="paragraph" w:styleId="aa">
    <w:name w:val="List Paragraph"/>
    <w:basedOn w:val="a"/>
    <w:uiPriority w:val="34"/>
    <w:qFormat/>
    <w:rsid w:val="002B445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192F"/>
  </w:style>
  <w:style w:type="paragraph" w:styleId="ad">
    <w:name w:val="footer"/>
    <w:basedOn w:val="a"/>
    <w:link w:val="ae"/>
    <w:uiPriority w:val="99"/>
    <w:unhideWhenUsed/>
    <w:rsid w:val="00FB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A6591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6476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476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476BD"/>
    <w:rPr>
      <w:vertAlign w:val="superscript"/>
    </w:rPr>
  </w:style>
  <w:style w:type="character" w:customStyle="1" w:styleId="w">
    <w:name w:val="w"/>
    <w:basedOn w:val="a0"/>
    <w:rsid w:val="00C41B3B"/>
  </w:style>
  <w:style w:type="paragraph" w:styleId="aa">
    <w:name w:val="List Paragraph"/>
    <w:basedOn w:val="a"/>
    <w:uiPriority w:val="34"/>
    <w:qFormat/>
    <w:rsid w:val="002B445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192F"/>
  </w:style>
  <w:style w:type="paragraph" w:styleId="ad">
    <w:name w:val="footer"/>
    <w:basedOn w:val="a"/>
    <w:link w:val="ae"/>
    <w:uiPriority w:val="99"/>
    <w:unhideWhenUsed/>
    <w:rsid w:val="00FB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y-KG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Число посетителей горнолыжных баз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y-KG" i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(тыс. человек)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Лист2!$A$18</c:f>
              <c:strCache>
                <c:ptCount val="1"/>
                <c:pt idx="0">
                  <c:v>Посетители - 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Лист2!$B$17:$D$17</c:f>
              <c:strCache>
                <c:ptCount val="3"/>
                <c:pt idx="0">
                  <c:v>Декабрь 2018</c:v>
                </c:pt>
                <c:pt idx="1">
                  <c:v>Январь 2019</c:v>
                </c:pt>
                <c:pt idx="2">
                  <c:v>Февраль 2019</c:v>
                </c:pt>
              </c:strCache>
            </c:strRef>
          </c:cat>
          <c:val>
            <c:numRef>
              <c:f>Лист2!$B$18:$D$18</c:f>
              <c:numCache>
                <c:formatCode>General</c:formatCode>
                <c:ptCount val="3"/>
                <c:pt idx="0">
                  <c:v>21.7</c:v>
                </c:pt>
                <c:pt idx="1">
                  <c:v>38.5</c:v>
                </c:pt>
                <c:pt idx="2">
                  <c:v>28.4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91-4374-BB15-5BE844B497AA}"/>
            </c:ext>
          </c:extLst>
        </c:ser>
        <c:ser>
          <c:idx val="1"/>
          <c:order val="1"/>
          <c:tx>
            <c:strRef>
              <c:f>Лист2!$A$19</c:f>
              <c:strCache>
                <c:ptCount val="1"/>
                <c:pt idx="0">
                  <c:v>иностранные граждане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Лист2!$B$17:$D$17</c:f>
              <c:strCache>
                <c:ptCount val="3"/>
                <c:pt idx="0">
                  <c:v>Декабрь 2018</c:v>
                </c:pt>
                <c:pt idx="1">
                  <c:v>Январь 2019</c:v>
                </c:pt>
                <c:pt idx="2">
                  <c:v>Февраль 2019</c:v>
                </c:pt>
              </c:strCache>
            </c:strRef>
          </c:cat>
          <c:val>
            <c:numRef>
              <c:f>Лист2!$B$19:$D$19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9.1999999999999993</c:v>
                </c:pt>
                <c:pt idx="2">
                  <c:v>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91-4374-BB15-5BE844B49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58752"/>
        <c:axId val="33660288"/>
      </c:barChart>
      <c:catAx>
        <c:axId val="3365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660288"/>
        <c:crosses val="autoZero"/>
        <c:auto val="1"/>
        <c:lblAlgn val="ctr"/>
        <c:lblOffset val="100"/>
        <c:noMultiLvlLbl val="0"/>
      </c:catAx>
      <c:valAx>
        <c:axId val="3366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65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379880249343835"/>
          <c:y val="0.89877150772820069"/>
          <c:w val="0.77323552329396317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3537-4C19-47C6-AEC2-05BB624E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Supataeva</dc:creator>
  <cp:keywords/>
  <dc:description/>
  <cp:lastModifiedBy>Supataeva</cp:lastModifiedBy>
  <cp:revision>6</cp:revision>
  <cp:lastPrinted>2019-05-14T03:50:00Z</cp:lastPrinted>
  <dcterms:created xsi:type="dcterms:W3CDTF">2019-05-14T03:38:00Z</dcterms:created>
  <dcterms:modified xsi:type="dcterms:W3CDTF">2019-05-15T05:04:00Z</dcterms:modified>
</cp:coreProperties>
</file>