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43" w:rsidRDefault="00255862">
      <w:bookmarkStart w:id="0" w:name="_GoBack"/>
      <w:r>
        <w:rPr>
          <w:noProof/>
          <w:lang w:eastAsia="ru-RU"/>
        </w:rPr>
        <w:drawing>
          <wp:inline distT="0" distB="0" distL="0" distR="0" wp14:anchorId="143BBFCE" wp14:editId="2E4B285A">
            <wp:extent cx="9286875" cy="574357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C70B8244-A5DF-4291-9795-3CCB28D3EB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84243" w:rsidRDefault="00884243"/>
    <w:p w:rsidR="008C29B6" w:rsidRDefault="008C29B6">
      <w:r>
        <w:rPr>
          <w:noProof/>
          <w:lang w:eastAsia="ru-RU"/>
        </w:rPr>
        <w:lastRenderedPageBreak/>
        <w:drawing>
          <wp:inline distT="0" distB="0" distL="0" distR="0" wp14:anchorId="0A3B71B3" wp14:editId="3290E93B">
            <wp:extent cx="9286875" cy="543877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5022DE03-F2FE-4E0C-8444-B00705BF3C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4243" w:rsidRDefault="00255862">
      <w:r>
        <w:rPr>
          <w:noProof/>
          <w:lang w:eastAsia="ru-RU"/>
        </w:rPr>
        <w:lastRenderedPageBreak/>
        <w:drawing>
          <wp:inline distT="0" distB="0" distL="0" distR="0" wp14:anchorId="212230B7" wp14:editId="33836282">
            <wp:extent cx="9372600" cy="55626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1F7C7374-7AE7-41E1-8995-5FF5D26D25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4243" w:rsidRDefault="00884243"/>
    <w:p w:rsidR="00884243" w:rsidRDefault="00255862">
      <w:r>
        <w:rPr>
          <w:noProof/>
          <w:lang w:eastAsia="ru-RU"/>
        </w:rPr>
        <w:lastRenderedPageBreak/>
        <w:drawing>
          <wp:inline distT="0" distB="0" distL="0" distR="0" wp14:anchorId="4DE6B8CE" wp14:editId="4E9617DD">
            <wp:extent cx="9448800" cy="53721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74DBFEDB-CB7F-429D-8583-93B6130C2A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4243" w:rsidRDefault="00884243"/>
    <w:sectPr w:rsidR="00884243" w:rsidSect="00255862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62" w:rsidRDefault="00255862" w:rsidP="00255862">
      <w:pPr>
        <w:spacing w:after="0" w:line="240" w:lineRule="auto"/>
      </w:pPr>
      <w:r>
        <w:separator/>
      </w:r>
    </w:p>
  </w:endnote>
  <w:endnote w:type="continuationSeparator" w:id="0">
    <w:p w:rsidR="00255862" w:rsidRDefault="00255862" w:rsidP="0025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62" w:rsidRDefault="00255862" w:rsidP="00255862">
      <w:pPr>
        <w:spacing w:after="0" w:line="240" w:lineRule="auto"/>
      </w:pPr>
      <w:r>
        <w:separator/>
      </w:r>
    </w:p>
  </w:footnote>
  <w:footnote w:type="continuationSeparator" w:id="0">
    <w:p w:rsidR="00255862" w:rsidRDefault="00255862" w:rsidP="0025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F"/>
    <w:rsid w:val="0019332F"/>
    <w:rsid w:val="00255862"/>
    <w:rsid w:val="00283EA6"/>
    <w:rsid w:val="00432E56"/>
    <w:rsid w:val="00843D82"/>
    <w:rsid w:val="00884243"/>
    <w:rsid w:val="008C29B6"/>
    <w:rsid w:val="00A261F0"/>
    <w:rsid w:val="00DC776D"/>
    <w:rsid w:val="00E24BBB"/>
    <w:rsid w:val="00F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27C3-FCFD-4DF9-8DC9-D3208A4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6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862"/>
  </w:style>
  <w:style w:type="paragraph" w:styleId="a7">
    <w:name w:val="footer"/>
    <w:basedOn w:val="a"/>
    <w:link w:val="a8"/>
    <w:uiPriority w:val="99"/>
    <w:unhideWhenUsed/>
    <w:rsid w:val="0025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Индекс доверия населения, I</a:t>
            </a:r>
            <a:r>
              <a:rPr lang="en-US"/>
              <a:t>I</a:t>
            </a:r>
            <a:r>
              <a:rPr lang="ru-RU"/>
              <a:t> полугодие 2022г.</a:t>
            </a:r>
          </a:p>
        </c:rich>
      </c:tx>
      <c:layout>
        <c:manualLayout>
          <c:xMode val="edge"/>
          <c:yMode val="edge"/>
          <c:x val="0.30922215218137122"/>
          <c:y val="1.08407021417500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68042263947782"/>
          <c:y val="0.10883291985762056"/>
          <c:w val="0.55931957736052229"/>
          <c:h val="0.874615827131197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'[!Динамика ИДН структура 2021 года.xlsx]Графики-рейтинг (2полуг.2022)'!$C$19</c:f>
              <c:strCache>
                <c:ptCount val="1"/>
                <c:pt idx="0">
                  <c:v>ИДН 1</c:v>
                </c:pt>
              </c:strCache>
            </c:strRef>
          </c:tx>
          <c:spPr>
            <a:solidFill>
              <a:srgbClr val="6792C5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A8F-486D-98A5-390E5C258650}"/>
              </c:ext>
            </c:extLst>
          </c:dPt>
          <c:dPt>
            <c:idx val="12"/>
            <c:invertIfNegative val="0"/>
            <c:bubble3D val="0"/>
            <c:spPr>
              <a:solidFill>
                <a:srgbClr val="6792C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8F-486D-98A5-390E5C258650}"/>
              </c:ext>
            </c:extLst>
          </c:dPt>
          <c:dPt>
            <c:idx val="13"/>
            <c:invertIfNegative val="0"/>
            <c:bubble3D val="0"/>
            <c:spPr>
              <a:solidFill>
                <a:srgbClr val="6792C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8F-486D-98A5-390E5C258650}"/>
              </c:ext>
            </c:extLst>
          </c:dPt>
          <c:dPt>
            <c:idx val="1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A8F-486D-98A5-390E5C258650}"/>
              </c:ext>
            </c:extLst>
          </c:dPt>
          <c:dPt>
            <c:idx val="2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CA8F-486D-98A5-390E5C258650}"/>
              </c:ext>
            </c:extLst>
          </c:dPt>
          <c:dPt>
            <c:idx val="23"/>
            <c:invertIfNegative val="0"/>
            <c:bubble3D val="0"/>
            <c:spPr>
              <a:solidFill>
                <a:srgbClr val="6792C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A8F-486D-98A5-390E5C258650}"/>
              </c:ext>
            </c:extLst>
          </c:dPt>
          <c:dLbls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'[!Динамика ИДН структура 2021 года.xlsx]Графики-рейтинг (2полуг.2022)'!$B$20:$B$45</c:f>
              <c:strCache>
                <c:ptCount val="26"/>
                <c:pt idx="0">
                  <c:v>Министерство здравоохранения  КР</c:v>
                </c:pt>
                <c:pt idx="1">
                  <c:v>Госагентство архитектуры, строительства и ЖКХ при Кабмине КР</c:v>
                </c:pt>
                <c:pt idx="2">
                  <c:v>Министерство природных ресурсов, экологии и технического надзора </c:v>
                </c:pt>
                <c:pt idx="3">
                  <c:v>Министерство юстиции КР</c:v>
                </c:pt>
                <c:pt idx="4">
                  <c:v>Министерство транспорта и коммуникаций КР</c:v>
                </c:pt>
                <c:pt idx="5">
                  <c:v>Министерство труда, социального обеспечения и миграции</c:v>
                </c:pt>
                <c:pt idx="6">
                  <c:v>Министерство внутренних дел КР</c:v>
                </c:pt>
                <c:pt idx="7">
                  <c:v>Министерство финансов КР</c:v>
                </c:pt>
                <c:pt idx="8">
                  <c:v>Министерство экономики и коммерции КР</c:v>
                </c:pt>
                <c:pt idx="9">
                  <c:v>Министерство сельского хозяйства КР </c:v>
                </c:pt>
                <c:pt idx="10">
                  <c:v>Министерство образования и науки  КР</c:v>
                </c:pt>
                <c:pt idx="11">
                  <c:v>Кыргызская Республика</c:v>
                </c:pt>
                <c:pt idx="12">
                  <c:v>Министерство иностранных дел КР</c:v>
                </c:pt>
                <c:pt idx="13">
                  <c:v>Госагентство интеллектуальной собственности и инноваций при Кабмине КР</c:v>
                </c:pt>
                <c:pt idx="14">
                  <c:v>Министерство энергетики КР</c:v>
                </c:pt>
                <c:pt idx="15">
                  <c:v>Госагентство по делам госслужбы и местного самоуправления при Кабмине КР</c:v>
                </c:pt>
                <c:pt idx="16">
                  <c:v>Госагентство по защите персональных данных  при Кабмине КР</c:v>
                </c:pt>
                <c:pt idx="17">
                  <c:v>Министерство обороны Кыргызской Республики</c:v>
                </c:pt>
                <c:pt idx="18">
                  <c:v>Социальный фонд при Кабмине КР</c:v>
                </c:pt>
                <c:pt idx="19">
                  <c:v>Орган местного самоуправления КР:  мэрии городов Бишкек, Ош</c:v>
                </c:pt>
                <c:pt idx="20">
                  <c:v>Министерство культуры, информации, спорта и молодежной политики КР  </c:v>
                </c:pt>
                <c:pt idx="21">
                  <c:v>Министерство цифрового развития КР</c:v>
                </c:pt>
                <c:pt idx="22">
                  <c:v>Министерство чрезвычайных ситуаций  КР</c:v>
                </c:pt>
                <c:pt idx="23">
                  <c:v>Местная государственная администрация</c:v>
                </c:pt>
                <c:pt idx="24">
                  <c:v>Аппараты Полномочных представителей Президента КР в областях</c:v>
                </c:pt>
                <c:pt idx="25">
                  <c:v>Органы МСУ городов областного, районного значения и айылных аймаков</c:v>
                </c:pt>
              </c:strCache>
            </c:strRef>
          </c:cat>
          <c:val>
            <c:numRef>
              <c:f>'[!Динамика ИДН структура 2021 года.xlsx]Графики-рейтинг (2полуг.2022)'!$C$20:$C$45</c:f>
              <c:numCache>
                <c:formatCode>###0.00</c:formatCode>
                <c:ptCount val="26"/>
                <c:pt idx="0">
                  <c:v>22.315686319948373</c:v>
                </c:pt>
                <c:pt idx="1">
                  <c:v>23.612867558332258</c:v>
                </c:pt>
                <c:pt idx="2">
                  <c:v>24.599644322332459</c:v>
                </c:pt>
                <c:pt idx="3">
                  <c:v>28.445072253978275</c:v>
                </c:pt>
                <c:pt idx="4">
                  <c:v>29.138796457545297</c:v>
                </c:pt>
                <c:pt idx="5">
                  <c:v>29.216870539777876</c:v>
                </c:pt>
                <c:pt idx="6">
                  <c:v>29.543580914597261</c:v>
                </c:pt>
                <c:pt idx="7">
                  <c:v>29.924622588041061</c:v>
                </c:pt>
                <c:pt idx="8">
                  <c:v>30.676536021424621</c:v>
                </c:pt>
                <c:pt idx="9">
                  <c:v>32.622596635617171</c:v>
                </c:pt>
                <c:pt idx="10">
                  <c:v>35.211678822093319</c:v>
                </c:pt>
                <c:pt idx="11">
                  <c:v>35.476987973759506</c:v>
                </c:pt>
                <c:pt idx="12">
                  <c:v>36.99634241189348</c:v>
                </c:pt>
                <c:pt idx="13">
                  <c:v>37.93340089794355</c:v>
                </c:pt>
                <c:pt idx="14">
                  <c:v>38.108985423463814</c:v>
                </c:pt>
                <c:pt idx="15">
                  <c:v>38.157987598769836</c:v>
                </c:pt>
                <c:pt idx="16">
                  <c:v>38.254177644885488</c:v>
                </c:pt>
                <c:pt idx="17">
                  <c:v>38.570851841215962</c:v>
                </c:pt>
                <c:pt idx="18">
                  <c:v>39.163913488868467</c:v>
                </c:pt>
                <c:pt idx="19">
                  <c:v>39.618319032467667</c:v>
                </c:pt>
                <c:pt idx="20">
                  <c:v>43.59120427818894</c:v>
                </c:pt>
                <c:pt idx="21">
                  <c:v>44.660336826149582</c:v>
                </c:pt>
                <c:pt idx="22">
                  <c:v>44.806203222397251</c:v>
                </c:pt>
                <c:pt idx="23">
                  <c:v>48.31011021955527</c:v>
                </c:pt>
                <c:pt idx="24">
                  <c:v>49.899110903484463</c:v>
                </c:pt>
                <c:pt idx="25">
                  <c:v>51.737117725711173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A8F-486D-98A5-390E5C258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21987520"/>
        <c:axId val="321985168"/>
      </c:barChart>
      <c:catAx>
        <c:axId val="321987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1985168"/>
        <c:crosses val="autoZero"/>
        <c:auto val="1"/>
        <c:lblAlgn val="ctr"/>
        <c:lblOffset val="100"/>
        <c:noMultiLvlLbl val="0"/>
      </c:catAx>
      <c:valAx>
        <c:axId val="32198516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##0.00" sourceLinked="1"/>
        <c:majorTickMark val="none"/>
        <c:minorTickMark val="none"/>
        <c:tickLblPos val="nextTo"/>
        <c:crossAx val="32198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Индекс </a:t>
            </a:r>
            <a:r>
              <a:rPr lang="en-US"/>
              <a:t>"</a:t>
            </a:r>
            <a:r>
              <a:rPr lang="ru-RU"/>
              <a:t>Личное доверие гражданина к государству", </a:t>
            </a:r>
            <a:r>
              <a:rPr lang="en-US"/>
              <a:t>II </a:t>
            </a:r>
            <a:r>
              <a:rPr lang="ru-RU"/>
              <a:t>полугодие 2022г.</a:t>
            </a:r>
          </a:p>
          <a:p>
            <a:pPr>
              <a:defRPr/>
            </a:pP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914197602657585"/>
          <c:y val="0.11976556141491487"/>
          <c:w val="0.51188676227929253"/>
          <c:h val="0.859044812059043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'[!Динамика ИДН структура 2021 года.xlsx]Графики-рейтинг (2полуг.2022)'!$D$60</c:f>
              <c:strCache>
                <c:ptCount val="1"/>
                <c:pt idx="0">
                  <c:v>ИЛД 2</c:v>
                </c:pt>
              </c:strCache>
            </c:strRef>
          </c:tx>
          <c:spPr>
            <a:solidFill>
              <a:srgbClr val="648FC4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7D-46BF-B8B8-8A9CC2A0400F}"/>
              </c:ext>
            </c:extLst>
          </c:dPt>
          <c:dPt>
            <c:idx val="14"/>
            <c:invertIfNegative val="0"/>
            <c:bubble3D val="0"/>
            <c:spPr>
              <a:solidFill>
                <a:srgbClr val="648FC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7D-46BF-B8B8-8A9CC2A0400F}"/>
              </c:ext>
            </c:extLst>
          </c:dPt>
          <c:dPt>
            <c:idx val="1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67D-46BF-B8B8-8A9CC2A0400F}"/>
              </c:ext>
            </c:extLst>
          </c:dPt>
          <c:dPt>
            <c:idx val="1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67D-46BF-B8B8-8A9CC2A0400F}"/>
              </c:ext>
            </c:extLst>
          </c:dPt>
          <c:dPt>
            <c:idx val="2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367D-46BF-B8B8-8A9CC2A0400F}"/>
              </c:ext>
            </c:extLst>
          </c:dPt>
          <c:dPt>
            <c:idx val="22"/>
            <c:invertIfNegative val="0"/>
            <c:bubble3D val="0"/>
            <c:spPr>
              <a:solidFill>
                <a:srgbClr val="648FC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67D-46BF-B8B8-8A9CC2A0400F}"/>
              </c:ext>
            </c:extLst>
          </c:dPt>
          <c:dLbls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'[!Динамика ИДН структура 2021 года.xlsx]Графики-рейтинг (2полуг.2022)'!$B$61:$B$86</c:f>
              <c:strCache>
                <c:ptCount val="26"/>
                <c:pt idx="0">
                  <c:v>Министерство природных ресурсов, экологии и технического надзора </c:v>
                </c:pt>
                <c:pt idx="1">
                  <c:v>Госагентство архитектуры, строительства и ЖКХ при Кабмине КР</c:v>
                </c:pt>
                <c:pt idx="2">
                  <c:v>Министерство труда, социального обеспечения и миграции</c:v>
                </c:pt>
                <c:pt idx="3">
                  <c:v>Министерство юстиции КР</c:v>
                </c:pt>
                <c:pt idx="4">
                  <c:v>Министерство здравоохранения  КР</c:v>
                </c:pt>
                <c:pt idx="5">
                  <c:v>Министерство финансов КР</c:v>
                </c:pt>
                <c:pt idx="6">
                  <c:v>Министерство экономики и коммерции КР</c:v>
                </c:pt>
                <c:pt idx="7">
                  <c:v>Министерство транспорта и коммуникаций КР</c:v>
                </c:pt>
                <c:pt idx="8">
                  <c:v>Министерство внутренних дел КР</c:v>
                </c:pt>
                <c:pt idx="9">
                  <c:v>Министерство сельского хозяйства КР </c:v>
                </c:pt>
                <c:pt idx="10">
                  <c:v>Госагентство по защите персональных данных  при Кабмине КР</c:v>
                </c:pt>
                <c:pt idx="11">
                  <c:v>Госагентство по делам госслужбы и местного самоуправления при Кабмине КР</c:v>
                </c:pt>
                <c:pt idx="12">
                  <c:v>Госагентство интеллектуальной собственности и инноваций при Кабмине КР</c:v>
                </c:pt>
                <c:pt idx="13">
                  <c:v>Кыргызская Республика</c:v>
                </c:pt>
                <c:pt idx="14">
                  <c:v>Министерство иностранных дел КР</c:v>
                </c:pt>
                <c:pt idx="15">
                  <c:v>Министерство образования и науки  КР</c:v>
                </c:pt>
                <c:pt idx="16">
                  <c:v>Орган местного самоуправления КР:  мэрии городов Бишкек, Ош</c:v>
                </c:pt>
                <c:pt idx="17">
                  <c:v>Министерство обороны Кыргызской Республики</c:v>
                </c:pt>
                <c:pt idx="18">
                  <c:v>Социальный фонд при Кабмине КР</c:v>
                </c:pt>
                <c:pt idx="19">
                  <c:v>Министерство энергетики КР</c:v>
                </c:pt>
                <c:pt idx="20">
                  <c:v>Министерство цифрового развития КР</c:v>
                </c:pt>
                <c:pt idx="21">
                  <c:v>Министерство культуры, информации, спорта и молодежной политики КР  </c:v>
                </c:pt>
                <c:pt idx="22">
                  <c:v>Министерство чрезвычайных ситуаций  КР</c:v>
                </c:pt>
                <c:pt idx="23">
                  <c:v>Местная государственная администрация</c:v>
                </c:pt>
                <c:pt idx="24">
                  <c:v>Аппараты Полномочных представителей Президента КР в областях</c:v>
                </c:pt>
                <c:pt idx="25">
                  <c:v>Органы МСУ городов областного, районного значения и айылных аймаков</c:v>
                </c:pt>
              </c:strCache>
            </c:strRef>
          </c:cat>
          <c:val>
            <c:numRef>
              <c:f>'[!Динамика ИДН структура 2021 года.xlsx]Графики-рейтинг (2полуг.2022)'!$D$61:$D$86</c:f>
              <c:numCache>
                <c:formatCode>###0.00</c:formatCode>
                <c:ptCount val="26"/>
                <c:pt idx="0">
                  <c:v>32.984756651098728</c:v>
                </c:pt>
                <c:pt idx="1">
                  <c:v>33.417163736952538</c:v>
                </c:pt>
                <c:pt idx="2">
                  <c:v>37.111429717887397</c:v>
                </c:pt>
                <c:pt idx="3">
                  <c:v>37.93907247832631</c:v>
                </c:pt>
                <c:pt idx="4">
                  <c:v>38.559280672563034</c:v>
                </c:pt>
                <c:pt idx="5">
                  <c:v>39.523108853702247</c:v>
                </c:pt>
                <c:pt idx="6">
                  <c:v>39.786004258814977</c:v>
                </c:pt>
                <c:pt idx="7">
                  <c:v>40.576426198195314</c:v>
                </c:pt>
                <c:pt idx="8">
                  <c:v>41.503401567389993</c:v>
                </c:pt>
                <c:pt idx="9">
                  <c:v>42.415872117643282</c:v>
                </c:pt>
                <c:pt idx="10">
                  <c:v>42.870395100542112</c:v>
                </c:pt>
                <c:pt idx="11">
                  <c:v>43.462251084225755</c:v>
                </c:pt>
                <c:pt idx="12">
                  <c:v>43.521407253703103</c:v>
                </c:pt>
                <c:pt idx="13">
                  <c:v>44.009106142772083</c:v>
                </c:pt>
                <c:pt idx="14">
                  <c:v>44.531320908039888</c:v>
                </c:pt>
                <c:pt idx="15">
                  <c:v>46.743220237291617</c:v>
                </c:pt>
                <c:pt idx="16">
                  <c:v>46.87239863318468</c:v>
                </c:pt>
                <c:pt idx="17">
                  <c:v>47.472105852272634</c:v>
                </c:pt>
                <c:pt idx="18">
                  <c:v>47.848828241101302</c:v>
                </c:pt>
                <c:pt idx="19">
                  <c:v>47.851487870918852</c:v>
                </c:pt>
                <c:pt idx="20">
                  <c:v>50.248225295299541</c:v>
                </c:pt>
                <c:pt idx="21">
                  <c:v>50.59526987953727</c:v>
                </c:pt>
                <c:pt idx="22">
                  <c:v>52.424088478329651</c:v>
                </c:pt>
                <c:pt idx="23">
                  <c:v>53.339723326755959</c:v>
                </c:pt>
                <c:pt idx="24">
                  <c:v>54.657350020989213</c:v>
                </c:pt>
                <c:pt idx="25">
                  <c:v>56.987818344691547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67D-46BF-B8B8-8A9CC2A04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21989872"/>
        <c:axId val="321983208"/>
      </c:barChart>
      <c:catAx>
        <c:axId val="321989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1983208"/>
        <c:crosses val="autoZero"/>
        <c:auto val="1"/>
        <c:lblAlgn val="ctr"/>
        <c:lblOffset val="100"/>
        <c:noMultiLvlLbl val="0"/>
      </c:catAx>
      <c:valAx>
        <c:axId val="32198320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##0.00" sourceLinked="1"/>
        <c:majorTickMark val="none"/>
        <c:minorTickMark val="none"/>
        <c:tickLblPos val="nextTo"/>
        <c:crossAx val="32198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Индекс "Личное представление об уровне коррупции", </a:t>
            </a:r>
            <a:r>
              <a:rPr lang="en-US"/>
              <a:t>II </a:t>
            </a:r>
            <a:r>
              <a:rPr lang="ru-RU"/>
              <a:t>полугодие 2022г.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242088641358851"/>
          <c:y val="0.11262377305576526"/>
          <c:w val="0.55757911358641143"/>
          <c:h val="0.87260939129184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'[!Динамика ИДН структура 2021 года.xlsx]Графики-рейтинг (2полуг.2022)'!$E$92</c:f>
              <c:strCache>
                <c:ptCount val="1"/>
                <c:pt idx="0">
                  <c:v>ИУК 3</c:v>
                </c:pt>
              </c:strCache>
            </c:strRef>
          </c:tx>
          <c:spPr>
            <a:solidFill>
              <a:srgbClr val="6792C5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AD0-4847-82CA-6B7BF7F60565}"/>
              </c:ext>
            </c:extLst>
          </c:dPt>
          <c:dPt>
            <c:idx val="12"/>
            <c:invertIfNegative val="0"/>
            <c:bubble3D val="0"/>
            <c:spPr>
              <a:solidFill>
                <a:srgbClr val="6792C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D0-4847-82CA-6B7BF7F60565}"/>
              </c:ext>
            </c:extLst>
          </c:dPt>
          <c:dPt>
            <c:idx val="13"/>
            <c:invertIfNegative val="0"/>
            <c:bubble3D val="0"/>
            <c:spPr>
              <a:solidFill>
                <a:srgbClr val="6792C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D0-4847-82CA-6B7BF7F60565}"/>
              </c:ext>
            </c:extLst>
          </c:dPt>
          <c:dLbls>
            <c:dLbl>
              <c:idx val="0"/>
              <c:layout>
                <c:manualLayout>
                  <c:x val="6.9532466978213089E-4"/>
                  <c:y val="-1.258404343292704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AD0-4847-82CA-6B7BF7F6056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'[!Динамика ИДН структура 2021 года.xlsx]Графики-рейтинг (2полуг.2022)'!$B$93:$B$118</c:f>
              <c:strCache>
                <c:ptCount val="26"/>
                <c:pt idx="0">
                  <c:v>Министерство здравоохранения  КР</c:v>
                </c:pt>
                <c:pt idx="1">
                  <c:v>Министерство внутренних дел КР</c:v>
                </c:pt>
                <c:pt idx="2">
                  <c:v>Госагентство архитектуры, строительства и ЖКХ при Кабмине КР</c:v>
                </c:pt>
                <c:pt idx="3">
                  <c:v>Министерство юстиции КР</c:v>
                </c:pt>
                <c:pt idx="4">
                  <c:v>Министерство транспорта и коммуникаций КР</c:v>
                </c:pt>
                <c:pt idx="5">
                  <c:v>Министерство природных ресурсов, экологии и технического надзора </c:v>
                </c:pt>
                <c:pt idx="6">
                  <c:v>Министерство финансов КР</c:v>
                </c:pt>
                <c:pt idx="7">
                  <c:v>Министерство образования и науки  КР</c:v>
                </c:pt>
                <c:pt idx="8">
                  <c:v>Министерство экономики и коммерции КР</c:v>
                </c:pt>
                <c:pt idx="9">
                  <c:v>Министерство труда, социального обеспечения и миграции</c:v>
                </c:pt>
                <c:pt idx="10">
                  <c:v>Министерство сельского хозяйства КР </c:v>
                </c:pt>
                <c:pt idx="11">
                  <c:v>Кыргызская Республика</c:v>
                </c:pt>
                <c:pt idx="12">
                  <c:v>Министерство энергетики КР</c:v>
                </c:pt>
                <c:pt idx="13">
                  <c:v>Министерство иностранных дел КР</c:v>
                </c:pt>
                <c:pt idx="14">
                  <c:v>Министерство обороны Кыргызской Республики</c:v>
                </c:pt>
                <c:pt idx="15">
                  <c:v>Социальный фонд при Кабмине КР</c:v>
                </c:pt>
                <c:pt idx="16">
                  <c:v>Госагентство интеллектуальной собственности и инноваций при Кабмине КР</c:v>
                </c:pt>
                <c:pt idx="17">
                  <c:v>Орган местного самоуправления КР:  мэрии городов Бишкек, Ош</c:v>
                </c:pt>
                <c:pt idx="18">
                  <c:v>Госагентство по делам госслужбы и местного самоуправления при Кабмине КР</c:v>
                </c:pt>
                <c:pt idx="19">
                  <c:v>Госагентство по защите персональных данных  при Кабмине КР</c:v>
                </c:pt>
                <c:pt idx="20">
                  <c:v>Министерство культуры, информации, спорта и молодежной политики КР  </c:v>
                </c:pt>
                <c:pt idx="21">
                  <c:v>Министерство чрезвычайных ситуаций  КР</c:v>
                </c:pt>
                <c:pt idx="22">
                  <c:v>Министерство цифрового развития КР</c:v>
                </c:pt>
                <c:pt idx="23">
                  <c:v>Местная государственная администрация</c:v>
                </c:pt>
                <c:pt idx="24">
                  <c:v>Аппараты Полномочных представителей Президента КР в областях</c:v>
                </c:pt>
                <c:pt idx="25">
                  <c:v>Органы МСУ городов областного, районного значения и айылных аймаков</c:v>
                </c:pt>
              </c:strCache>
            </c:strRef>
          </c:cat>
          <c:val>
            <c:numRef>
              <c:f>'[!Динамика ИДН структура 2021 года.xlsx]Графики-рейтинг (2полуг.2022)'!$E$93:$E$118</c:f>
              <c:numCache>
                <c:formatCode>###0.00</c:formatCode>
                <c:ptCount val="26"/>
                <c:pt idx="0">
                  <c:v>3.1206828917258358</c:v>
                </c:pt>
                <c:pt idx="1">
                  <c:v>12.504211573910903</c:v>
                </c:pt>
                <c:pt idx="2">
                  <c:v>12.82040442000589</c:v>
                </c:pt>
                <c:pt idx="3">
                  <c:v>15.946704061798068</c:v>
                </c:pt>
                <c:pt idx="4">
                  <c:v>17.125902115925783</c:v>
                </c:pt>
                <c:pt idx="5">
                  <c:v>18.860838851122111</c:v>
                </c:pt>
                <c:pt idx="6">
                  <c:v>20.404279177251446</c:v>
                </c:pt>
                <c:pt idx="7">
                  <c:v>21.979258361408181</c:v>
                </c:pt>
                <c:pt idx="8">
                  <c:v>21.988532182599911</c:v>
                </c:pt>
                <c:pt idx="9">
                  <c:v>22.8930944864879</c:v>
                </c:pt>
                <c:pt idx="10">
                  <c:v>23.790251641543534</c:v>
                </c:pt>
                <c:pt idx="11">
                  <c:v>26.495524312074597</c:v>
                </c:pt>
                <c:pt idx="12">
                  <c:v>26.50265637437295</c:v>
                </c:pt>
                <c:pt idx="13">
                  <c:v>27.277669089502883</c:v>
                </c:pt>
                <c:pt idx="14">
                  <c:v>29.560299389779601</c:v>
                </c:pt>
                <c:pt idx="15">
                  <c:v>30.133127205205362</c:v>
                </c:pt>
                <c:pt idx="16">
                  <c:v>31.393086290205154</c:v>
                </c:pt>
                <c:pt idx="17">
                  <c:v>32.415550872630945</c:v>
                </c:pt>
                <c:pt idx="18">
                  <c:v>33.423809619198316</c:v>
                </c:pt>
                <c:pt idx="19">
                  <c:v>34.328055035101798</c:v>
                </c:pt>
                <c:pt idx="20">
                  <c:v>35.811363762784119</c:v>
                </c:pt>
                <c:pt idx="21">
                  <c:v>38.126970752305205</c:v>
                </c:pt>
                <c:pt idx="22">
                  <c:v>39.340690301543795</c:v>
                </c:pt>
                <c:pt idx="23">
                  <c:v>45.585641160176003</c:v>
                </c:pt>
                <c:pt idx="24">
                  <c:v>47.068150556778086</c:v>
                </c:pt>
                <c:pt idx="25">
                  <c:v>50.097924528649912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AD0-4847-82CA-6B7BF7F60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21983600"/>
        <c:axId val="321983992"/>
      </c:barChart>
      <c:catAx>
        <c:axId val="321983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1983992"/>
        <c:crosses val="autoZero"/>
        <c:auto val="1"/>
        <c:lblAlgn val="ctr"/>
        <c:lblOffset val="100"/>
        <c:noMultiLvlLbl val="0"/>
      </c:catAx>
      <c:valAx>
        <c:axId val="32198399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##0.00" sourceLinked="1"/>
        <c:majorTickMark val="none"/>
        <c:minorTickMark val="none"/>
        <c:tickLblPos val="nextTo"/>
        <c:crossAx val="32198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Индекс "Оценка деятельности", I</a:t>
            </a:r>
            <a:r>
              <a:rPr lang="en-US"/>
              <a:t>I</a:t>
            </a:r>
            <a:r>
              <a:rPr lang="ru-RU"/>
              <a:t> полугодие 2022г.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3862691558716449"/>
          <c:y val="0.10833733549263788"/>
          <c:w val="0.56137308441283551"/>
          <c:h val="0.881969620818674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'[!Динамика ИДН структура 2021 года.xlsx]Графики-рейтинг (2полуг.2022)'!$F$123</c:f>
              <c:strCache>
                <c:ptCount val="1"/>
                <c:pt idx="0">
                  <c:v>ИОД 4</c:v>
                </c:pt>
              </c:strCache>
            </c:strRef>
          </c:tx>
          <c:spPr>
            <a:solidFill>
              <a:srgbClr val="648FC4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9E-42FE-A131-63A5CC0208E7}"/>
              </c:ext>
            </c:extLst>
          </c:dPt>
          <c:dPt>
            <c:idx val="12"/>
            <c:invertIfNegative val="0"/>
            <c:bubble3D val="0"/>
            <c:spPr>
              <a:solidFill>
                <a:srgbClr val="648FC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9E-42FE-A131-63A5CC0208E7}"/>
              </c:ext>
            </c:extLst>
          </c:dPt>
          <c:dLbls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'[!Динамика ИДН структура 2021 года.xlsx]Графики-рейтинг (2полуг.2022)'!$B$124:$B$149</c:f>
              <c:strCache>
                <c:ptCount val="26"/>
                <c:pt idx="0">
                  <c:v>Министерство природных ресурсов, экологии и технического надзора </c:v>
                </c:pt>
                <c:pt idx="1">
                  <c:v>Госагентство архитектуры, строительства и ЖКХ при Кабмине КР</c:v>
                </c:pt>
                <c:pt idx="2">
                  <c:v>Министерство здравоохранения  КР</c:v>
                </c:pt>
                <c:pt idx="3">
                  <c:v>Министерство труда, социального обеспечения и миграции</c:v>
                </c:pt>
                <c:pt idx="4">
                  <c:v>Министерство транспорта и коммуникаций КР</c:v>
                </c:pt>
                <c:pt idx="5">
                  <c:v>Министерство финансов КР</c:v>
                </c:pt>
                <c:pt idx="6">
                  <c:v>Министерство экономики и коммерции КР</c:v>
                </c:pt>
                <c:pt idx="7">
                  <c:v>Министерство юстиции КР</c:v>
                </c:pt>
                <c:pt idx="8">
                  <c:v>Министерство сельского хозяйства КР </c:v>
                </c:pt>
                <c:pt idx="9">
                  <c:v>Министерство внутренних дел КР</c:v>
                </c:pt>
                <c:pt idx="10">
                  <c:v>Кыргызская Республика</c:v>
                </c:pt>
                <c:pt idx="11">
                  <c:v>Министерство образования и науки  КР</c:v>
                </c:pt>
                <c:pt idx="12">
                  <c:v>Госагентство по защите персональных данных  при Кабмине КР</c:v>
                </c:pt>
                <c:pt idx="13">
                  <c:v>Госагентство по делам госслужбы и местного самоуправления при Кабмине КР</c:v>
                </c:pt>
                <c:pt idx="14">
                  <c:v>Министерство обороны Кыргызской Республики</c:v>
                </c:pt>
                <c:pt idx="15">
                  <c:v>Госагентство интеллектуальной собственности и инноваций при Кабмине КР</c:v>
                </c:pt>
                <c:pt idx="16">
                  <c:v>Министерство иностранных дел КР</c:v>
                </c:pt>
                <c:pt idx="17">
                  <c:v>Социальный фонд при Кабмине КР</c:v>
                </c:pt>
                <c:pt idx="18">
                  <c:v>Орган местного самоуправления КР:  мэрии городов Бишкек, Ош</c:v>
                </c:pt>
                <c:pt idx="19">
                  <c:v>Министерство энергетики КР</c:v>
                </c:pt>
                <c:pt idx="20">
                  <c:v>Министерство культуры, информации, спорта и молодежной политики КР  </c:v>
                </c:pt>
                <c:pt idx="21">
                  <c:v>Министерство цифрового развития КР</c:v>
                </c:pt>
                <c:pt idx="22">
                  <c:v>Министерство чрезвычайных ситуаций  КР</c:v>
                </c:pt>
                <c:pt idx="23">
                  <c:v>Местная государственная администрация</c:v>
                </c:pt>
                <c:pt idx="24">
                  <c:v>Аппараты Полномочных представителей Президента КР в областях</c:v>
                </c:pt>
                <c:pt idx="25">
                  <c:v>Органы МСУ городов областного, районного значения и айылных аймаков</c:v>
                </c:pt>
              </c:strCache>
            </c:strRef>
          </c:cat>
          <c:val>
            <c:numRef>
              <c:f>'[!Динамика ИДН структура 2021 года.xlsx]Графики-рейтинг (2полуг.2022)'!$F$124:$F$149</c:f>
              <c:numCache>
                <c:formatCode>###0.00</c:formatCode>
                <c:ptCount val="26"/>
                <c:pt idx="0">
                  <c:v>22.156567803154587</c:v>
                </c:pt>
                <c:pt idx="1">
                  <c:v>23.68756692672487</c:v>
                </c:pt>
                <c:pt idx="2">
                  <c:v>24.915505659487572</c:v>
                </c:pt>
                <c:pt idx="3">
                  <c:v>27.576276888094206</c:v>
                </c:pt>
                <c:pt idx="4">
                  <c:v>29.138382519087571</c:v>
                </c:pt>
                <c:pt idx="5">
                  <c:v>29.207670338325023</c:v>
                </c:pt>
                <c:pt idx="6">
                  <c:v>29.671028730731198</c:v>
                </c:pt>
                <c:pt idx="7">
                  <c:v>30.366873547334308</c:v>
                </c:pt>
                <c:pt idx="8">
                  <c:v>31.475005020765305</c:v>
                </c:pt>
                <c:pt idx="9">
                  <c:v>33.477960861204267</c:v>
                </c:pt>
                <c:pt idx="10">
                  <c:v>35.305353068702679</c:v>
                </c:pt>
                <c:pt idx="11">
                  <c:v>36.41884095423255</c:v>
                </c:pt>
                <c:pt idx="12">
                  <c:v>36.754649135463453</c:v>
                </c:pt>
                <c:pt idx="13">
                  <c:v>37.082226510412902</c:v>
                </c:pt>
                <c:pt idx="14">
                  <c:v>37.79872251177251</c:v>
                </c:pt>
                <c:pt idx="15">
                  <c:v>38.032136656061404</c:v>
                </c:pt>
                <c:pt idx="16">
                  <c:v>38.353620712329665</c:v>
                </c:pt>
                <c:pt idx="17">
                  <c:v>38.975057505478823</c:v>
                </c:pt>
                <c:pt idx="18">
                  <c:v>39.06360052028726</c:v>
                </c:pt>
                <c:pt idx="19">
                  <c:v>39.244987188794184</c:v>
                </c:pt>
                <c:pt idx="20">
                  <c:v>43.525469781905464</c:v>
                </c:pt>
                <c:pt idx="21">
                  <c:v>43.783572656018173</c:v>
                </c:pt>
                <c:pt idx="22">
                  <c:v>43.930045817805706</c:v>
                </c:pt>
                <c:pt idx="23">
                  <c:v>46.604626698807003</c:v>
                </c:pt>
                <c:pt idx="24">
                  <c:v>47.936215048178695</c:v>
                </c:pt>
                <c:pt idx="25">
                  <c:v>49.14610301287027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9E-42FE-A131-63A5CC020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54610360"/>
        <c:axId val="554609184"/>
      </c:barChart>
      <c:catAx>
        <c:axId val="554610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609184"/>
        <c:crosses val="autoZero"/>
        <c:auto val="1"/>
        <c:lblAlgn val="ctr"/>
        <c:lblOffset val="100"/>
        <c:noMultiLvlLbl val="0"/>
      </c:catAx>
      <c:valAx>
        <c:axId val="55460918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##0.00" sourceLinked="1"/>
        <c:majorTickMark val="none"/>
        <c:minorTickMark val="none"/>
        <c:tickLblPos val="nextTo"/>
        <c:crossAx val="554610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Samohleb</dc:creator>
  <cp:keywords/>
  <dc:description/>
  <cp:lastModifiedBy>Галина Самохлеб</cp:lastModifiedBy>
  <cp:revision>4</cp:revision>
  <cp:lastPrinted>2023-01-17T05:38:00Z</cp:lastPrinted>
  <dcterms:created xsi:type="dcterms:W3CDTF">2022-07-27T04:59:00Z</dcterms:created>
  <dcterms:modified xsi:type="dcterms:W3CDTF">2023-01-17T05:38:00Z</dcterms:modified>
</cp:coreProperties>
</file>