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9"/>
        <w:gridCol w:w="7566"/>
      </w:tblGrid>
      <w:tr w:rsidR="003A6D9B" w:rsidRPr="00B63248" w:rsidTr="008C2BAC"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3A6D9B" w:rsidRPr="00B63248" w:rsidRDefault="003A6D9B" w:rsidP="008C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6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5970" cy="775970"/>
                  <wp:effectExtent l="0" t="0" r="5080" b="5080"/>
                  <wp:docPr id="7" name="Рисунок 7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  <w:tcBorders>
              <w:bottom w:val="single" w:sz="4" w:space="0" w:color="auto"/>
            </w:tcBorders>
          </w:tcPr>
          <w:p w:rsidR="003A6D9B" w:rsidRPr="00B63248" w:rsidRDefault="003A6D9B" w:rsidP="008C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ПРЕСС-РЕЛИЗ</w:t>
            </w:r>
          </w:p>
          <w:p w:rsidR="003A6D9B" w:rsidRPr="00B63248" w:rsidRDefault="003A6D9B" w:rsidP="008C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СТАТИСТИЧЕСКОГО КОМИТЕТА  </w:t>
            </w:r>
            <w:r w:rsidRPr="00B63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КЫРГЫЗСКОЙ РЕСПУБЛИКИ</w:t>
            </w:r>
          </w:p>
          <w:p w:rsidR="003A6D9B" w:rsidRPr="00C87743" w:rsidRDefault="003A6D9B" w:rsidP="003A6D9B">
            <w:pPr>
              <w:spacing w:after="0" w:line="240" w:lineRule="auto"/>
              <w:ind w:firstLine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B63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08</w:t>
            </w:r>
            <w:r w:rsidRPr="00B63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3A6D9B" w:rsidRDefault="003A6D9B" w:rsidP="00C60CDE">
      <w:pPr>
        <w:jc w:val="center"/>
        <w:rPr>
          <w:rFonts w:ascii="Times New Roman" w:hAnsi="Times New Roman" w:cs="Times New Roman"/>
          <w:b/>
          <w:bCs/>
        </w:rPr>
      </w:pPr>
    </w:p>
    <w:p w:rsidR="00C60CDE" w:rsidRPr="003A6D9B" w:rsidRDefault="00C60CDE" w:rsidP="00C60CDE">
      <w:pPr>
        <w:jc w:val="center"/>
        <w:rPr>
          <w:rFonts w:ascii="Times New Roman" w:hAnsi="Times New Roman" w:cs="Times New Roman"/>
          <w:b/>
          <w:bCs/>
        </w:rPr>
      </w:pPr>
      <w:r w:rsidRPr="003A6D9B">
        <w:rPr>
          <w:rFonts w:ascii="Times New Roman" w:hAnsi="Times New Roman" w:cs="Times New Roman"/>
          <w:b/>
          <w:bCs/>
        </w:rPr>
        <w:t>В ию</w:t>
      </w:r>
      <w:r w:rsidR="00F82FD4" w:rsidRPr="003A6D9B">
        <w:rPr>
          <w:rFonts w:ascii="Times New Roman" w:hAnsi="Times New Roman" w:cs="Times New Roman"/>
          <w:b/>
          <w:bCs/>
        </w:rPr>
        <w:t>л</w:t>
      </w:r>
      <w:r w:rsidRPr="003A6D9B">
        <w:rPr>
          <w:rFonts w:ascii="Times New Roman" w:hAnsi="Times New Roman" w:cs="Times New Roman"/>
          <w:b/>
          <w:bCs/>
        </w:rPr>
        <w:t xml:space="preserve">е текущего года спад экономики </w:t>
      </w:r>
      <w:r w:rsidR="003A6D9B" w:rsidRPr="003A6D9B">
        <w:rPr>
          <w:rFonts w:ascii="Times New Roman" w:hAnsi="Times New Roman" w:cs="Times New Roman"/>
          <w:b/>
          <w:bCs/>
        </w:rPr>
        <w:t>продолжился</w:t>
      </w:r>
    </w:p>
    <w:p w:rsidR="00C60CDE" w:rsidRPr="003A6D9B" w:rsidRDefault="00C60CDE" w:rsidP="00C60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Валовой внутренний продукт 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в январе-ию</w:t>
      </w:r>
      <w:r w:rsidR="00B52CEF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е 2020 года, по предварительной оценке, составил 2</w:t>
      </w:r>
      <w:r w:rsidR="00B52CEF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2 миллиард</w:t>
      </w:r>
      <w:r w:rsidR="00B52CEF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сомов и по сравнению с январем-ию</w:t>
      </w:r>
      <w:r w:rsidR="00B52CEF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ем 2019 года 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уменьшился на </w:t>
      </w:r>
      <w:r w:rsidR="00B52CEF"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</w:t>
      </w:r>
      <w:r w:rsidR="00B52CEF"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процента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60CDE" w:rsidRPr="003A6D9B" w:rsidRDefault="00C60CDE" w:rsidP="00C60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Без учета предприятий по разработке месторождения «</w:t>
      </w:r>
      <w:proofErr w:type="spellStart"/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Кумтор</w:t>
      </w:r>
      <w:proofErr w:type="spellEnd"/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 объем ВВП в январе-ию</w:t>
      </w:r>
      <w:r w:rsidR="00B52CEF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 2020 года составил </w:t>
      </w:r>
      <w:r w:rsidR="00B52CEF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52CEF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244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миллиард</w:t>
      </w:r>
      <w:r w:rsidR="00B52CEF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ов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сомов и 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снизился на </w:t>
      </w:r>
      <w:r w:rsidR="00B52CEF"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</w:t>
      </w:r>
      <w:r w:rsidR="00E603C1"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процента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60CDE" w:rsidRPr="003A6D9B" w:rsidRDefault="00C60CDE" w:rsidP="00C60C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Валовой внутренний </w:t>
      </w:r>
      <w:proofErr w:type="gramStart"/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продукт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A6D9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</w:t>
      </w:r>
      <w:proofErr w:type="gramEnd"/>
      <w:r w:rsidRPr="003A6D9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 процентах к соответствующему периоду предыдущего года)</w:t>
      </w:r>
    </w:p>
    <w:p w:rsidR="00C60CDE" w:rsidRPr="003A6D9B" w:rsidRDefault="003A6D9B" w:rsidP="00C60C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D9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70C3AB92">
            <wp:extent cx="3749675" cy="18288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42E" w:rsidRPr="003A6D9B" w:rsidRDefault="00C60CDE" w:rsidP="006C642E">
      <w:pPr>
        <w:autoSpaceDE w:val="0"/>
        <w:autoSpaceDN w:val="0"/>
        <w:adjustRightInd w:val="0"/>
        <w:ind w:firstLine="70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Объем промышленной продукции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 в январе-ию</w:t>
      </w:r>
      <w:r w:rsidR="00F82FD4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 2020 года составил </w:t>
      </w:r>
      <w:r w:rsidR="00F82FD4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около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</w:t>
      </w:r>
      <w:r w:rsidR="00F82FD4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80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миллиардов сомов и по сравнению с январем-ию</w:t>
      </w:r>
      <w:r w:rsidR="00F82FD4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ем прошлого года </w:t>
      </w:r>
      <w:r w:rsidR="00F82FD4"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снизился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на 0,</w:t>
      </w:r>
      <w:r w:rsidR="00F82FD4"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процента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за счет </w:t>
      </w:r>
      <w:r w:rsidR="006C642E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объемов производства нефтепродуктов (на 59,0 процента), текстильного производства, производства одежды и обуви, кожи и кожаных изделий (на 20,4 процента), деревянных и бумажных изделий, полиграфической деятельности (на 18,5 процента), резиновых и пластмассовых изделий, прочих неметаллических минеральных продуктов (на 16,5 процента), пищевых продуктов (включая напитки) и табачных изделий (на 5,3 процента), а также добычи полезных ископаемых (на 4,2 процента). </w:t>
      </w:r>
    </w:p>
    <w:p w:rsidR="00C60CDE" w:rsidRPr="003A6D9B" w:rsidRDefault="00C60CDE" w:rsidP="00536B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Объем промышленной </w:t>
      </w:r>
      <w:proofErr w:type="gramStart"/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продукции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A6D9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</w:t>
      </w:r>
      <w:proofErr w:type="gramEnd"/>
      <w:r w:rsidRPr="003A6D9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 процентах к соответствующему периоду предыдущего года)</w:t>
      </w:r>
    </w:p>
    <w:p w:rsidR="00C60CDE" w:rsidRPr="003A6D9B" w:rsidRDefault="003A6D9B" w:rsidP="00C60C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D9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283263C5">
            <wp:extent cx="3413760" cy="18472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CDE" w:rsidRPr="003A6D9B" w:rsidRDefault="00C60CDE" w:rsidP="00C60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Отрицательные тенденции наблюдались 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строительстве, где снижение объемов составило </w:t>
      </w:r>
      <w:r w:rsidR="00481A7C"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8</w:t>
      </w:r>
      <w:r w:rsidR="006C642E"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</w:t>
      </w:r>
      <w:r w:rsidR="00481A7C"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процента, оптовой и розничной торговле </w:t>
      </w:r>
      <w:r w:rsidR="00481A7C"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6C642E"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17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</w:t>
      </w:r>
      <w:r w:rsidR="006C642E"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процента, тогда как в сельском </w:t>
      </w:r>
      <w:r w:rsidRPr="003A6D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хозяйстве, напротив, отмечался рост объемов на 1,</w:t>
      </w:r>
      <w:r w:rsidR="00481A7C" w:rsidRPr="003A6D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8 </w:t>
      </w:r>
      <w:r w:rsidRPr="003A6D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процента.</w:t>
      </w:r>
    </w:p>
    <w:p w:rsidR="00481A7C" w:rsidRPr="003A6D9B" w:rsidRDefault="00481A7C" w:rsidP="00481A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январе-июле текущего года (по сравнению с декабрем предыдущего года) </w:t>
      </w:r>
      <w:r w:rsidRPr="003A6D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прирост потребительских цен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целом по республике составил 2,5 процента. При этом, цены на пищевые продукты и безалкогольные напитки возросли на 4,9 процента, алкогольные напитки и табачные изделия - на 5,5 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процента. Цены на непродовольственные товары, напротив, снизились на 0,8 процента, а тарифы на услуги оставались на уровне декабря 2019 года.</w:t>
      </w:r>
    </w:p>
    <w:p w:rsidR="00C60CDE" w:rsidRPr="003A6D9B" w:rsidRDefault="00C60CDE" w:rsidP="00C60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Максимальный прирост потребительских цен и тарифов с начала текущего года зафиксирован в </w:t>
      </w:r>
      <w:proofErr w:type="spellStart"/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Таласской</w:t>
      </w:r>
      <w:proofErr w:type="spellEnd"/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области (5,</w:t>
      </w:r>
      <w:r w:rsidR="00481A7C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процента) что обусловлено наибольшим повышением цен на пищевые продукты и безалкогольные напитки (на 1</w:t>
      </w:r>
      <w:r w:rsidR="00481A7C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481A7C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процента).</w:t>
      </w:r>
    </w:p>
    <w:p w:rsidR="00C60CDE" w:rsidRPr="003A6D9B" w:rsidRDefault="00C60CDE" w:rsidP="00C60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Внешнеторговый оборот </w:t>
      </w:r>
      <w:proofErr w:type="spellStart"/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Кыргызской</w:t>
      </w:r>
      <w:proofErr w:type="spellEnd"/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Республики в январе-</w:t>
      </w:r>
      <w:r w:rsidR="006E3170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июне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2020 года составил 2 </w:t>
      </w:r>
      <w:r w:rsidR="006E3170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577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6E3170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млн. долларов США и по сравнению с январем-</w:t>
      </w:r>
      <w:r w:rsidR="006E3170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июн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ем 2019 года 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снизился на 22,</w:t>
      </w:r>
      <w:r w:rsidR="006E3170"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процента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при этом, 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экспортные поставки увеличились на </w:t>
      </w:r>
      <w:r w:rsidR="006E3170"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</w:t>
      </w:r>
      <w:r w:rsidR="006E3170"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процента, а импортные поступления, напротив, уменьшились на 3</w:t>
      </w:r>
      <w:r w:rsidR="006E3170"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</w:t>
      </w:r>
      <w:r w:rsidR="006E3170"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</w:t>
      </w: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процента.</w:t>
      </w:r>
    </w:p>
    <w:p w:rsidR="006E3170" w:rsidRPr="003A6D9B" w:rsidRDefault="006E3170" w:rsidP="00C60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A6D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Объем взаимной торговли </w:t>
      </w:r>
      <w:proofErr w:type="spellStart"/>
      <w:r w:rsidRPr="003A6D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Кыргызской</w:t>
      </w:r>
      <w:proofErr w:type="spellEnd"/>
      <w:r w:rsidRPr="003A6D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Республики с государствами-членами ЕАЭС 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январе-июне 2020 года составил 1 054,8 млн. долларов США и по сравнению с январем-июнем 2019 года </w:t>
      </w:r>
      <w:r w:rsidRPr="003A6D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уменьшился на 17,3 процента.</w:t>
      </w:r>
    </w:p>
    <w:p w:rsidR="00C60CDE" w:rsidRPr="003A6D9B" w:rsidRDefault="00C60CDE" w:rsidP="00C60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этом, экспортные поставки сократились на </w:t>
      </w:r>
      <w:r w:rsidR="006E3170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25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6E3170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процента, импортные поступления - на </w:t>
      </w:r>
      <w:r w:rsidR="006E3170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6E3170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процента. Наибольшая доля взаимной торговли республики с государствами-членами ЕАЭС пришлась на Россию (6</w:t>
      </w:r>
      <w:r w:rsidR="006E3170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6E3170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процента) и Казахстан (</w:t>
      </w:r>
      <w:r w:rsidR="006E3170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30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6E3170"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процента).</w:t>
      </w:r>
    </w:p>
    <w:p w:rsidR="00C60CDE" w:rsidRPr="003A6D9B" w:rsidRDefault="00C60CDE" w:rsidP="00C60C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Взаимная торговля </w:t>
      </w:r>
      <w:proofErr w:type="spellStart"/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Кыргызской</w:t>
      </w:r>
      <w:proofErr w:type="spellEnd"/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Республики с государствами-членами </w:t>
      </w:r>
      <w:proofErr w:type="gramStart"/>
      <w:r w:rsidRPr="003A6D9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ЕАЭС</w:t>
      </w:r>
      <w:r w:rsidRPr="003A6D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A6D9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</w:t>
      </w:r>
      <w:proofErr w:type="gramEnd"/>
      <w:r w:rsidRPr="003A6D9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 процентах к соответствующему периоду предыдущего года)</w:t>
      </w:r>
      <w:r w:rsidRPr="003A6D9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 </w:t>
      </w:r>
    </w:p>
    <w:p w:rsidR="00C60CDE" w:rsidRPr="003A6D9B" w:rsidRDefault="003A6D9B" w:rsidP="003A6D9B">
      <w:pPr>
        <w:spacing w:after="0" w:line="240" w:lineRule="auto"/>
        <w:ind w:left="1134"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D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Импорт</w:t>
      </w:r>
      <w:r w:rsidRPr="003A6D9B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3A6D9B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3A6D9B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3A6D9B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3A6D9B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3A6D9B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3A6D9B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Экспорт</w:t>
      </w:r>
    </w:p>
    <w:tbl>
      <w:tblPr>
        <w:tblW w:w="5709" w:type="pct"/>
        <w:tblInd w:w="-778" w:type="dxa"/>
        <w:tblLook w:val="01E0" w:firstRow="1" w:lastRow="1" w:firstColumn="1" w:lastColumn="1" w:noHBand="0" w:noVBand="0"/>
      </w:tblPr>
      <w:tblGrid>
        <w:gridCol w:w="5723"/>
        <w:gridCol w:w="5266"/>
      </w:tblGrid>
      <w:tr w:rsidR="003A6D9B" w:rsidRPr="003A6D9B" w:rsidTr="00A9137C">
        <w:trPr>
          <w:trHeight w:val="2580"/>
        </w:trPr>
        <w:tc>
          <w:tcPr>
            <w:tcW w:w="2604" w:type="pct"/>
          </w:tcPr>
          <w:p w:rsidR="003A6D9B" w:rsidRPr="003A6D9B" w:rsidRDefault="003A6D9B" w:rsidP="008C2BAC">
            <w:bookmarkStart w:id="0" w:name="_GoBack"/>
            <w:bookmarkEnd w:id="0"/>
            <w:r w:rsidRPr="003A6D9B">
              <w:rPr>
                <w:noProof/>
                <w:lang w:eastAsia="ru-RU"/>
              </w:rPr>
              <w:drawing>
                <wp:inline distT="0" distB="0" distL="0" distR="0" wp14:anchorId="136BFAF0" wp14:editId="30868E59">
                  <wp:extent cx="3496945" cy="1989455"/>
                  <wp:effectExtent l="0" t="0" r="0" b="0"/>
                  <wp:docPr id="8" name="Диаграмм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396" w:type="pct"/>
            <w:shd w:val="clear" w:color="auto" w:fill="auto"/>
          </w:tcPr>
          <w:p w:rsidR="003A6D9B" w:rsidRPr="003A6D9B" w:rsidRDefault="003A6D9B" w:rsidP="008C2BAC">
            <w:r w:rsidRPr="003A6D9B">
              <w:rPr>
                <w:noProof/>
                <w:lang w:eastAsia="ru-RU"/>
              </w:rPr>
              <w:drawing>
                <wp:inline distT="0" distB="0" distL="0" distR="0" wp14:anchorId="350FB8E9" wp14:editId="37358E8C">
                  <wp:extent cx="3206750" cy="1816100"/>
                  <wp:effectExtent l="0" t="0" r="0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E1D5A" w:rsidRDefault="006E1D5A">
      <w:pPr>
        <w:rPr>
          <w:rFonts w:ascii="Times New Roman" w:hAnsi="Times New Roman" w:cs="Times New Roman"/>
        </w:rPr>
      </w:pPr>
    </w:p>
    <w:p w:rsidR="003A6D9B" w:rsidRPr="007F6EFF" w:rsidRDefault="003A6D9B" w:rsidP="003A6D9B">
      <w:pPr>
        <w:pStyle w:val="a9"/>
        <w:ind w:left="0" w:firstLine="708"/>
        <w:jc w:val="both"/>
      </w:pPr>
    </w:p>
    <w:p w:rsidR="003A6D9B" w:rsidRPr="00D46100" w:rsidRDefault="003A6D9B" w:rsidP="003A6D9B">
      <w:pPr>
        <w:spacing w:before="240" w:after="0" w:line="240" w:lineRule="auto"/>
        <w:jc w:val="center"/>
        <w:rPr>
          <w:b/>
          <w:bCs/>
          <w:i/>
          <w:iCs/>
        </w:rPr>
      </w:pPr>
      <w:r w:rsidRPr="006B3C7C">
        <w:t>****</w:t>
      </w:r>
    </w:p>
    <w:p w:rsidR="003A6D9B" w:rsidRDefault="003A6D9B" w:rsidP="003A6D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C7C">
        <w:rPr>
          <w:rFonts w:ascii="Times New Roman" w:hAnsi="Times New Roman" w:cs="Times New Roman"/>
          <w:sz w:val="20"/>
          <w:szCs w:val="20"/>
        </w:rPr>
        <w:t xml:space="preserve">Национальная информационно-статистическая система </w:t>
      </w:r>
      <w:proofErr w:type="spellStart"/>
      <w:r w:rsidRPr="006B3C7C">
        <w:rPr>
          <w:rFonts w:ascii="Times New Roman" w:hAnsi="Times New Roman" w:cs="Times New Roman"/>
          <w:sz w:val="20"/>
          <w:szCs w:val="20"/>
        </w:rPr>
        <w:t>Кыргызской</w:t>
      </w:r>
      <w:proofErr w:type="spellEnd"/>
      <w:r w:rsidRPr="006B3C7C">
        <w:rPr>
          <w:rFonts w:ascii="Times New Roman" w:hAnsi="Times New Roman" w:cs="Times New Roman"/>
          <w:sz w:val="20"/>
          <w:szCs w:val="20"/>
        </w:rPr>
        <w:t xml:space="preserve"> Республики, являющаяся важнейшей государственной информационной системой республики, отвечает современным требованиям рыночной экономики, обеспечивает органы государственной власти и общественность необходимой информацией о социальном, экономическом, демографическом и экологическом положении республики. </w:t>
      </w:r>
    </w:p>
    <w:p w:rsidR="003A6D9B" w:rsidRPr="006B3C7C" w:rsidRDefault="003A6D9B" w:rsidP="003A6D9B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C7C">
        <w:rPr>
          <w:rFonts w:ascii="Times New Roman" w:hAnsi="Times New Roman" w:cs="Times New Roman"/>
          <w:sz w:val="20"/>
          <w:szCs w:val="20"/>
        </w:rPr>
        <w:t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носителях пользователи обязаны ссылаться на их источник (ст. 17 Закона о государственной статистике).</w:t>
      </w:r>
    </w:p>
    <w:p w:rsidR="003A6D9B" w:rsidRPr="009369FA" w:rsidRDefault="003A6D9B" w:rsidP="003A6D9B">
      <w:pPr>
        <w:pStyle w:val="a7"/>
        <w:tabs>
          <w:tab w:val="left" w:pos="270"/>
        </w:tabs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369FA">
        <w:rPr>
          <w:rFonts w:ascii="Times New Roman" w:hAnsi="Times New Roman" w:cs="Times New Roman"/>
          <w:b/>
          <w:bCs/>
          <w:sz w:val="22"/>
          <w:szCs w:val="22"/>
          <w:lang w:val="ky-KG"/>
        </w:rPr>
        <w:t>За более подробной информацией по вопросам организации интервью обращаться:</w:t>
      </w:r>
    </w:p>
    <w:p w:rsidR="003A6D9B" w:rsidRPr="00C87743" w:rsidRDefault="003A6D9B" w:rsidP="003A6D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369FA">
        <w:rPr>
          <w:rFonts w:ascii="Times New Roman" w:hAnsi="Times New Roman" w:cs="Times New Roman"/>
          <w:color w:val="000000"/>
          <w:lang w:eastAsia="ru-RU"/>
        </w:rPr>
        <w:t>Пресс-с</w:t>
      </w:r>
      <w:r w:rsidRPr="009369FA">
        <w:rPr>
          <w:rFonts w:ascii="Times New Roman" w:hAnsi="Times New Roman" w:cs="Times New Roman"/>
          <w:color w:val="000000"/>
          <w:lang w:val="ky-KG" w:eastAsia="ru-RU"/>
        </w:rPr>
        <w:t xml:space="preserve">лужба </w:t>
      </w:r>
      <w:r w:rsidRPr="009369FA">
        <w:rPr>
          <w:rFonts w:ascii="Times New Roman" w:hAnsi="Times New Roman" w:cs="Times New Roman"/>
          <w:color w:val="000000"/>
          <w:lang w:eastAsia="ru-RU"/>
        </w:rPr>
        <w:t>Нацстаткома</w:t>
      </w:r>
      <w:r w:rsidRPr="00C87743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369FA">
        <w:rPr>
          <w:rFonts w:ascii="Times New Roman" w:hAnsi="Times New Roman" w:cs="Times New Roman"/>
          <w:color w:val="000000"/>
          <w:lang w:eastAsia="ru-RU"/>
        </w:rPr>
        <w:t>Кыргызской</w:t>
      </w:r>
      <w:proofErr w:type="spellEnd"/>
      <w:r w:rsidRPr="009369FA">
        <w:rPr>
          <w:rFonts w:ascii="Times New Roman" w:hAnsi="Times New Roman" w:cs="Times New Roman"/>
          <w:color w:val="000000"/>
          <w:lang w:eastAsia="ru-RU"/>
        </w:rPr>
        <w:t xml:space="preserve"> Республики, </w:t>
      </w:r>
      <w:r w:rsidRPr="009369FA">
        <w:rPr>
          <w:rFonts w:ascii="Times New Roman" w:hAnsi="Times New Roman" w:cs="Times New Roman"/>
        </w:rPr>
        <w:t xml:space="preserve">тел.: + 996 (312) </w:t>
      </w:r>
      <w:r w:rsidRPr="00C87743">
        <w:rPr>
          <w:rFonts w:ascii="Times New Roman" w:hAnsi="Times New Roman" w:cs="Times New Roman"/>
        </w:rPr>
        <w:t>625</w:t>
      </w:r>
      <w:r>
        <w:rPr>
          <w:rFonts w:ascii="Times New Roman" w:hAnsi="Times New Roman" w:cs="Times New Roman"/>
          <w:lang w:val="en-US"/>
        </w:rPr>
        <w:t> </w:t>
      </w:r>
      <w:r w:rsidRPr="00C87743">
        <w:rPr>
          <w:rFonts w:ascii="Times New Roman" w:hAnsi="Times New Roman" w:cs="Times New Roman"/>
        </w:rPr>
        <w:t xml:space="preserve">559 </w:t>
      </w:r>
    </w:p>
    <w:p w:rsidR="003A6D9B" w:rsidRDefault="003A6D9B" w:rsidP="003A6D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4F0746">
        <w:rPr>
          <w:rFonts w:ascii="Times New Roman" w:hAnsi="Times New Roman" w:cs="Times New Roman"/>
          <w:lang w:val="fr-FR"/>
        </w:rPr>
        <w:t>e</w:t>
      </w:r>
      <w:r w:rsidRPr="004F0746">
        <w:rPr>
          <w:rFonts w:ascii="Times New Roman" w:hAnsi="Times New Roman" w:cs="Times New Roman"/>
        </w:rPr>
        <w:t>-</w:t>
      </w:r>
      <w:r w:rsidRPr="004F0746">
        <w:rPr>
          <w:rFonts w:ascii="Times New Roman" w:hAnsi="Times New Roman" w:cs="Times New Roman"/>
          <w:lang w:val="fr-FR"/>
        </w:rPr>
        <w:t>mail</w:t>
      </w:r>
      <w:r w:rsidRPr="004F0746">
        <w:rPr>
          <w:rFonts w:ascii="Times New Roman" w:hAnsi="Times New Roman" w:cs="Times New Roman"/>
        </w:rPr>
        <w:t xml:space="preserve">: </w:t>
      </w:r>
      <w:hyperlink r:id="rId9" w:history="1">
        <w:r w:rsidRPr="00536E0A">
          <w:rPr>
            <w:rStyle w:val="a6"/>
            <w:rFonts w:ascii="Times New Roman" w:hAnsi="Times New Roman"/>
            <w:lang w:val="fr-FR"/>
          </w:rPr>
          <w:t>smi_nsc</w:t>
        </w:r>
        <w:r w:rsidRPr="00536E0A">
          <w:rPr>
            <w:rStyle w:val="a6"/>
            <w:rFonts w:ascii="Times New Roman" w:hAnsi="Times New Roman"/>
          </w:rPr>
          <w:t>@</w:t>
        </w:r>
        <w:r w:rsidRPr="00536E0A">
          <w:rPr>
            <w:rStyle w:val="a6"/>
            <w:rFonts w:ascii="Times New Roman" w:hAnsi="Times New Roman"/>
            <w:lang w:val="fr-FR"/>
          </w:rPr>
          <w:t>stat</w:t>
        </w:r>
        <w:r w:rsidRPr="00536E0A">
          <w:rPr>
            <w:rStyle w:val="a6"/>
            <w:rFonts w:ascii="Times New Roman" w:hAnsi="Times New Roman"/>
          </w:rPr>
          <w:t>.</w:t>
        </w:r>
        <w:r w:rsidRPr="00536E0A">
          <w:rPr>
            <w:rStyle w:val="a6"/>
            <w:rFonts w:ascii="Times New Roman" w:hAnsi="Times New Roman"/>
            <w:lang w:val="fr-FR"/>
          </w:rPr>
          <w:t>kg</w:t>
        </w:r>
      </w:hyperlink>
      <w:r w:rsidRPr="004F0746">
        <w:rPr>
          <w:rFonts w:ascii="Times New Roman" w:hAnsi="Times New Roman" w:cs="Times New Roman"/>
          <w:color w:val="0000FF"/>
          <w:u w:val="single"/>
        </w:rPr>
        <w:t xml:space="preserve">, </w:t>
      </w:r>
      <w:r w:rsidRPr="009369FA">
        <w:rPr>
          <w:rFonts w:ascii="Times New Roman" w:hAnsi="Times New Roman" w:cs="Times New Roman"/>
          <w:color w:val="000000"/>
          <w:lang w:eastAsia="ru-RU"/>
        </w:rPr>
        <w:t xml:space="preserve">Адрес: ул. Фрунзе 374 (пересекает ул. Т. </w:t>
      </w:r>
      <w:proofErr w:type="spellStart"/>
      <w:r w:rsidRPr="009369FA">
        <w:rPr>
          <w:rFonts w:ascii="Times New Roman" w:hAnsi="Times New Roman" w:cs="Times New Roman"/>
          <w:color w:val="000000"/>
          <w:lang w:eastAsia="ru-RU"/>
        </w:rPr>
        <w:t>Молдо</w:t>
      </w:r>
      <w:proofErr w:type="spellEnd"/>
      <w:r w:rsidRPr="009369FA">
        <w:rPr>
          <w:rFonts w:ascii="Times New Roman" w:hAnsi="Times New Roman" w:cs="Times New Roman"/>
          <w:color w:val="000000"/>
          <w:lang w:eastAsia="ru-RU"/>
        </w:rPr>
        <w:t>).</w:t>
      </w:r>
    </w:p>
    <w:p w:rsidR="003A6D9B" w:rsidRDefault="003A6D9B" w:rsidP="003A6D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A6D9B" w:rsidRDefault="003A6D9B" w:rsidP="003A6D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 w:eastAsia="ru-RU"/>
        </w:rPr>
      </w:pPr>
    </w:p>
    <w:p w:rsidR="003A6D9B" w:rsidRDefault="003A6D9B" w:rsidP="003A6D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 w:eastAsia="ru-RU"/>
        </w:rPr>
      </w:pPr>
    </w:p>
    <w:p w:rsidR="003A6D9B" w:rsidRPr="00B3392D" w:rsidRDefault="003A6D9B" w:rsidP="003A6D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 w:eastAsia="ru-RU"/>
        </w:rPr>
      </w:pPr>
    </w:p>
    <w:tbl>
      <w:tblPr>
        <w:tblW w:w="5120" w:type="pct"/>
        <w:tblLook w:val="01E0" w:firstRow="1" w:lastRow="1" w:firstColumn="1" w:lastColumn="1" w:noHBand="0" w:noVBand="0"/>
      </w:tblPr>
      <w:tblGrid>
        <w:gridCol w:w="1904"/>
        <w:gridCol w:w="2042"/>
        <w:gridCol w:w="1033"/>
        <w:gridCol w:w="1312"/>
        <w:gridCol w:w="1663"/>
        <w:gridCol w:w="1626"/>
      </w:tblGrid>
      <w:tr w:rsidR="003A6D9B" w:rsidRPr="00BD634F" w:rsidTr="008C2BAC">
        <w:tc>
          <w:tcPr>
            <w:tcW w:w="1006" w:type="pct"/>
            <w:vAlign w:val="bottom"/>
          </w:tcPr>
          <w:p w:rsidR="003A6D9B" w:rsidRPr="00BD634F" w:rsidRDefault="003A6D9B" w:rsidP="008C2BA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34F">
              <w:rPr>
                <w:rFonts w:ascii="Times New Roman" w:hAnsi="Times New Roman" w:cs="Times New Roman"/>
                <w:b/>
                <w:bCs/>
              </w:rPr>
              <w:t xml:space="preserve">Мы </w:t>
            </w:r>
            <w:r>
              <w:rPr>
                <w:rFonts w:ascii="Times New Roman" w:hAnsi="Times New Roman" w:cs="Times New Roman"/>
                <w:b/>
                <w:bCs/>
              </w:rPr>
              <w:t>доступны</w:t>
            </w:r>
            <w:r w:rsidRPr="00BD634F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1077" w:type="pct"/>
            <w:vAlign w:val="bottom"/>
          </w:tcPr>
          <w:p w:rsidR="003A6D9B" w:rsidRPr="002E0A8F" w:rsidRDefault="00ED124E" w:rsidP="008C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E79"/>
              </w:rPr>
            </w:pPr>
            <w:hyperlink r:id="rId10" w:history="1">
              <w:r w:rsidR="003A6D9B" w:rsidRPr="002E0A8F">
                <w:rPr>
                  <w:rStyle w:val="a6"/>
                  <w:rFonts w:ascii="Times New Roman" w:hAnsi="Times New Roman"/>
                  <w:color w:val="1F4E79"/>
                </w:rPr>
                <w:t>www.stat.kg</w:t>
              </w:r>
            </w:hyperlink>
            <w:r w:rsidR="003A6D9B" w:rsidRPr="002E0A8F">
              <w:rPr>
                <w:rFonts w:ascii="Times New Roman" w:hAnsi="Times New Roman" w:cs="Times New Roman"/>
                <w:color w:val="1F4E79"/>
              </w:rPr>
              <w:t>|</w:t>
            </w:r>
          </w:p>
        </w:tc>
        <w:tc>
          <w:tcPr>
            <w:tcW w:w="523" w:type="pct"/>
            <w:vAlign w:val="bottom"/>
          </w:tcPr>
          <w:p w:rsidR="003A6D9B" w:rsidRPr="00F40AC9" w:rsidRDefault="00ED124E" w:rsidP="008C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E79"/>
              </w:rPr>
            </w:pPr>
            <w:hyperlink r:id="rId11" w:history="1">
              <w:proofErr w:type="spellStart"/>
              <w:r w:rsidR="003A6D9B" w:rsidRPr="006B3C7C">
                <w:rPr>
                  <w:rStyle w:val="a6"/>
                  <w:rFonts w:ascii="Times New Roman" w:hAnsi="Times New Roman"/>
                  <w:color w:val="1F4E79"/>
                  <w:sz w:val="21"/>
                  <w:szCs w:val="21"/>
                  <w:shd w:val="clear" w:color="auto" w:fill="FFFFFF"/>
                </w:rPr>
                <w:t>Facebook</w:t>
              </w:r>
              <w:proofErr w:type="spellEnd"/>
            </w:hyperlink>
          </w:p>
        </w:tc>
        <w:tc>
          <w:tcPr>
            <w:tcW w:w="696" w:type="pct"/>
            <w:vAlign w:val="bottom"/>
          </w:tcPr>
          <w:p w:rsidR="003A6D9B" w:rsidRPr="00BD634F" w:rsidRDefault="003A6D9B" w:rsidP="008C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34F">
              <w:rPr>
                <w:rFonts w:ascii="Times New Roman" w:hAnsi="Times New Roman" w:cs="Times New Roman"/>
              </w:rPr>
              <w:t>тел.625747</w:t>
            </w:r>
          </w:p>
        </w:tc>
        <w:tc>
          <w:tcPr>
            <w:tcW w:w="869" w:type="pct"/>
            <w:vAlign w:val="bottom"/>
          </w:tcPr>
          <w:p w:rsidR="003A6D9B" w:rsidRPr="00BD634F" w:rsidRDefault="003A6D9B" w:rsidP="008C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3793">
              <w:rPr>
                <w:noProof/>
                <w:lang w:eastAsia="ru-RU"/>
              </w:rPr>
              <w:drawing>
                <wp:inline distT="0" distB="0" distL="0" distR="0">
                  <wp:extent cx="918845" cy="273050"/>
                  <wp:effectExtent l="0" t="0" r="0" b="0"/>
                  <wp:docPr id="10" name="Рисунок 10" descr="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4" t="14697" r="6064" b="17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pct"/>
            <w:vAlign w:val="bottom"/>
          </w:tcPr>
          <w:p w:rsidR="003A6D9B" w:rsidRPr="00BD634F" w:rsidRDefault="003A6D9B" w:rsidP="008C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3793">
              <w:rPr>
                <w:noProof/>
                <w:lang w:eastAsia="ru-RU"/>
              </w:rPr>
              <w:drawing>
                <wp:inline distT="0" distB="0" distL="0" distR="0">
                  <wp:extent cx="892810" cy="264160"/>
                  <wp:effectExtent l="0" t="0" r="2540" b="2540"/>
                  <wp:docPr id="9" name="Рисунок 9" descr="apple_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pple_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25" b="9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D9B" w:rsidRPr="00DA3BBB" w:rsidRDefault="003A6D9B" w:rsidP="003A6D9B">
      <w:pPr>
        <w:rPr>
          <w:sz w:val="2"/>
          <w:szCs w:val="2"/>
        </w:rPr>
      </w:pPr>
    </w:p>
    <w:p w:rsidR="003A6D9B" w:rsidRPr="003A6D9B" w:rsidRDefault="003A6D9B">
      <w:pPr>
        <w:rPr>
          <w:rFonts w:ascii="Times New Roman" w:hAnsi="Times New Roman" w:cs="Times New Roman"/>
        </w:rPr>
      </w:pPr>
    </w:p>
    <w:sectPr w:rsidR="003A6D9B" w:rsidRPr="003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DE"/>
    <w:rsid w:val="003A6D9B"/>
    <w:rsid w:val="00481A7C"/>
    <w:rsid w:val="00536B79"/>
    <w:rsid w:val="006C642E"/>
    <w:rsid w:val="006E1D5A"/>
    <w:rsid w:val="006E3170"/>
    <w:rsid w:val="00A9137C"/>
    <w:rsid w:val="00AB239E"/>
    <w:rsid w:val="00B52CEF"/>
    <w:rsid w:val="00C60CDE"/>
    <w:rsid w:val="00E603C1"/>
    <w:rsid w:val="00ED124E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8E04-F679-47E8-B3F5-5F142C33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CDE"/>
    <w:rPr>
      <w:b/>
      <w:bCs/>
    </w:rPr>
  </w:style>
  <w:style w:type="character" w:styleId="a5">
    <w:name w:val="Emphasis"/>
    <w:basedOn w:val="a0"/>
    <w:uiPriority w:val="20"/>
    <w:qFormat/>
    <w:rsid w:val="00C60CDE"/>
    <w:rPr>
      <w:i/>
      <w:iCs/>
    </w:rPr>
  </w:style>
  <w:style w:type="character" w:styleId="a6">
    <w:name w:val="Hyperlink"/>
    <w:rsid w:val="003A6D9B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semiHidden/>
    <w:rsid w:val="003A6D9B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a8">
    <w:name w:val="Текст Знак"/>
    <w:basedOn w:val="a0"/>
    <w:link w:val="a7"/>
    <w:semiHidden/>
    <w:rsid w:val="003A6D9B"/>
    <w:rPr>
      <w:rFonts w:ascii="Consolas" w:eastAsia="Times New Roman" w:hAnsi="Consolas" w:cs="Consolas"/>
      <w:sz w:val="21"/>
      <w:szCs w:val="21"/>
      <w:lang w:val="en-US"/>
    </w:rPr>
  </w:style>
  <w:style w:type="paragraph" w:styleId="a9">
    <w:name w:val="List Paragraph"/>
    <w:basedOn w:val="a"/>
    <w:uiPriority w:val="34"/>
    <w:qFormat/>
    <w:rsid w:val="003A6D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facebook.com/statcom.kg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stat.k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mi_nsc@stat.kg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456824512534819E-2"/>
          <c:y val="9.0452261306532666E-2"/>
          <c:w val="0.92757660167130918"/>
          <c:h val="0.64321608040201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9079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3366FF"/>
              </a:solidFill>
              <a:ln w="9079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3366FF"/>
              </a:solidFill>
              <a:ln w="9079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3366FF"/>
              </a:solidFill>
              <a:ln w="9079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rgbClr val="3366FF"/>
              </a:solidFill>
              <a:ln w="9079">
                <a:solidFill>
                  <a:srgbClr val="000000"/>
                </a:solidFill>
                <a:prstDash val="solid"/>
              </a:ln>
            </c:spPr>
          </c:dPt>
          <c:dPt>
            <c:idx val="16"/>
            <c:invertIfNegative val="0"/>
            <c:bubble3D val="0"/>
            <c:spPr>
              <a:solidFill>
                <a:srgbClr val="3366FF"/>
              </a:solidFill>
              <a:ln w="9079">
                <a:solidFill>
                  <a:srgbClr val="000000"/>
                </a:solidFill>
                <a:prstDash val="solid"/>
              </a:ln>
            </c:spPr>
          </c:dPt>
          <c:dPt>
            <c:idx val="17"/>
            <c:invertIfNegative val="0"/>
            <c:bubble3D val="0"/>
            <c:spPr>
              <a:solidFill>
                <a:srgbClr val="3366FF"/>
              </a:solidFill>
              <a:ln w="9079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rgbClr val="3366FF"/>
              </a:solidFill>
              <a:ln w="9079">
                <a:solidFill>
                  <a:srgbClr val="000000"/>
                </a:solidFill>
                <a:prstDash val="solid"/>
              </a:ln>
            </c:spPr>
          </c:dPt>
          <c:dPt>
            <c:idx val="19"/>
            <c:invertIfNegative val="0"/>
            <c:bubble3D val="0"/>
            <c:spPr>
              <a:solidFill>
                <a:srgbClr val="3366FF"/>
              </a:solidFill>
              <a:ln w="9079">
                <a:solidFill>
                  <a:srgbClr val="000000"/>
                </a:solidFill>
                <a:prstDash val="solid"/>
              </a:ln>
            </c:spPr>
          </c:dPt>
          <c:dPt>
            <c:idx val="20"/>
            <c:invertIfNegative val="0"/>
            <c:bubble3D val="0"/>
            <c:spPr>
              <a:solidFill>
                <a:srgbClr val="3366FF"/>
              </a:solidFill>
              <a:ln w="9079">
                <a:solidFill>
                  <a:srgbClr val="000000"/>
                </a:solidFill>
                <a:prstDash val="solid"/>
              </a:ln>
            </c:spPr>
          </c:dPt>
          <c:dPt>
            <c:idx val="21"/>
            <c:invertIfNegative val="0"/>
            <c:bubble3D val="0"/>
            <c:spPr>
              <a:solidFill>
                <a:srgbClr val="3366FF"/>
              </a:solidFill>
              <a:ln w="9079">
                <a:solidFill>
                  <a:srgbClr val="000000"/>
                </a:solidFill>
                <a:prstDash val="solid"/>
              </a:ln>
            </c:spPr>
          </c:dPt>
          <c:dPt>
            <c:idx val="22"/>
            <c:invertIfNegative val="0"/>
            <c:bubble3D val="0"/>
            <c:spPr>
              <a:solidFill>
                <a:srgbClr val="3366FF"/>
              </a:solidFill>
              <a:ln w="9079">
                <a:solidFill>
                  <a:srgbClr val="000000"/>
                </a:solidFill>
                <a:prstDash val="solid"/>
              </a:ln>
            </c:spPr>
          </c:dPt>
          <c:dPt>
            <c:idx val="23"/>
            <c:invertIfNegative val="0"/>
            <c:bubble3D val="0"/>
            <c:spPr>
              <a:solidFill>
                <a:srgbClr val="3366FF"/>
              </a:solidFill>
              <a:ln w="90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2040509644847146E-2"/>
                  <c:y val="2.0658421527503763E-2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90,3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6143103902613936E-3"/>
                  <c:y val="-6.9884390367813687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5897750957828702E-3"/>
                  <c:y val="4.4727903037270478E-3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98,5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365557323985143E-3"/>
                  <c:y val="-2.0773073823322996E-2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98,4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4688516893484336E-3"/>
                  <c:y val="-1.7985064025877184E-3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100,0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0153470355384608E-3"/>
                  <c:y val="-2.5622265467158956E-3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96,4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1331583128226832E-3"/>
                  <c:y val="-7.0243114251385963E-3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97,4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6.4654542697725748E-3"/>
                  <c:y val="-2.0796292050616061E-3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98,7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0119496159625743E-3"/>
                  <c:y val="-1.1553781667508201E-3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97,6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7.7321493224397075E-4"/>
                  <c:y val="-1.9969414693303544E-2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96,4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6.8000443114041298E-4"/>
                  <c:y val="-8.1099516091300838E-3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95,1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2.133509084950358E-3"/>
                  <c:y val="-2.9640876650895431E-3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93,3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1389329406974475E-3"/>
                  <c:y val="1.8214194457449651E-2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124,1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6857135773130638E-3"/>
                  <c:y val="2.4445342663536818E-2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116,8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0178975636734762E-3"/>
                  <c:y val="2.4413721345795707E-2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118,0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1.2210104398813204E-3"/>
                  <c:y val="2.6415085385611436E-2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100,7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1.0431962756062793E-3"/>
                  <c:y val="1.7328363798125617E-2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90,1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4.1273168437021461E-3"/>
                  <c:y val="2.2846457949538945E-2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85,0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5.5809538204599773E-3"/>
                  <c:y val="3.2847415315662043E-2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97,4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4.2486578635100303E-3"/>
                  <c:y val="8.4787145109061268E-2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98,7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1.3084658622586343E-4"/>
                  <c:y val="3.1560949329651922E-2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97,6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7.1553818807044145E-3"/>
                  <c:y val="2.9229493989431199E-2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96,4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8.6086012440886872E-3"/>
                  <c:y val="2.8827486463449015E-2"/>
                </c:manualLayout>
              </c:layout>
              <c:tx>
                <c:rich>
                  <a:bodyPr/>
                  <a:lstStyle/>
                  <a:p>
                    <a:r>
                      <a:rPr lang="en-US" sz="453"/>
                      <a:t>95,1</a:t>
                    </a:r>
                    <a:endParaRPr lang="en-US" sz="4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8159">
                <a:noFill/>
              </a:ln>
            </c:spPr>
            <c:txPr>
              <a:bodyPr/>
              <a:lstStyle/>
              <a:p>
                <a:pPr>
                  <a:defRPr sz="453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Sheet1!$B$1:$S$1</c:f>
              <c:strCache>
                <c:ptCount val="18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  <c:pt idx="14">
                  <c:v>I-III</c:v>
                </c:pt>
                <c:pt idx="15">
                  <c:v>I-IV</c:v>
                </c:pt>
                <c:pt idx="16">
                  <c:v>I-V</c:v>
                </c:pt>
                <c:pt idx="17">
                  <c:v>I-VI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8"/>
                <c:pt idx="0">
                  <c:v>90.3</c:v>
                </c:pt>
                <c:pt idx="1">
                  <c:v>94.8</c:v>
                </c:pt>
                <c:pt idx="2">
                  <c:v>98.5</c:v>
                </c:pt>
                <c:pt idx="3">
                  <c:v>98.4</c:v>
                </c:pt>
                <c:pt idx="4">
                  <c:v>100</c:v>
                </c:pt>
                <c:pt idx="5">
                  <c:v>96.4</c:v>
                </c:pt>
                <c:pt idx="6">
                  <c:v>97.4</c:v>
                </c:pt>
                <c:pt idx="7">
                  <c:v>98.7</c:v>
                </c:pt>
                <c:pt idx="8">
                  <c:v>97.6</c:v>
                </c:pt>
                <c:pt idx="9">
                  <c:v>96.4</c:v>
                </c:pt>
                <c:pt idx="10">
                  <c:v>95.1</c:v>
                </c:pt>
                <c:pt idx="11">
                  <c:v>93.3</c:v>
                </c:pt>
                <c:pt idx="12">
                  <c:v>124.1</c:v>
                </c:pt>
                <c:pt idx="13">
                  <c:v>116.8</c:v>
                </c:pt>
                <c:pt idx="14">
                  <c:v>118</c:v>
                </c:pt>
                <c:pt idx="15">
                  <c:v>100.7</c:v>
                </c:pt>
                <c:pt idx="16">
                  <c:v>90.1</c:v>
                </c:pt>
                <c:pt idx="17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6514280"/>
        <c:axId val="786515064"/>
      </c:barChart>
      <c:catAx>
        <c:axId val="786514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4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2019                                                                                          2020</a:t>
                </a:r>
              </a:p>
            </c:rich>
          </c:tx>
          <c:layout>
            <c:manualLayout>
              <c:xMode val="edge"/>
              <c:yMode val="edge"/>
              <c:x val="0.27034758776699874"/>
              <c:y val="0.82914567798230521"/>
            </c:manualLayout>
          </c:layout>
          <c:overlay val="0"/>
          <c:spPr>
            <a:noFill/>
            <a:ln w="18159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22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12" baseline="0"/>
            </a:pPr>
            <a:endParaRPr lang="ru-RU"/>
          </a:p>
        </c:txPr>
        <c:crossAx val="786515064"/>
        <c:crossesAt val="100"/>
        <c:auto val="1"/>
        <c:lblAlgn val="ctr"/>
        <c:lblOffset val="200"/>
        <c:tickLblSkip val="1"/>
        <c:tickMarkSkip val="1"/>
        <c:noMultiLvlLbl val="0"/>
      </c:catAx>
      <c:valAx>
        <c:axId val="786515064"/>
        <c:scaling>
          <c:orientation val="minMax"/>
          <c:max val="125"/>
          <c:min val="84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2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3"/>
            </a:pPr>
            <a:endParaRPr lang="ru-RU"/>
          </a:p>
        </c:txPr>
        <c:crossAx val="786514280"/>
        <c:crosses val="autoZero"/>
        <c:crossBetween val="between"/>
        <c:majorUnit val="5"/>
      </c:valAx>
      <c:spPr>
        <a:solidFill>
          <a:srgbClr val="FFFFFF"/>
        </a:solidFill>
        <a:ln w="1815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9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8929663608562692E-2"/>
          <c:y val="9.9447513812154692E-2"/>
          <c:w val="0.95412844036697253"/>
          <c:h val="0.635359116022099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997">
              <a:solidFill>
                <a:srgbClr val="000000"/>
              </a:solidFill>
              <a:prstDash val="solid"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CCCCFF"/>
              </a:solidFill>
              <a:ln w="10997">
                <a:solidFill>
                  <a:srgbClr val="000000"/>
                </a:solidFill>
                <a:prstDash val="solid"/>
              </a:ln>
            </c:spPr>
          </c:dPt>
          <c:dPt>
            <c:idx val="13"/>
            <c:invertIfNegative val="0"/>
            <c:bubble3D val="0"/>
            <c:spPr>
              <a:solidFill>
                <a:srgbClr val="CCCCFF"/>
              </a:solidFill>
              <a:ln w="10997">
                <a:solidFill>
                  <a:srgbClr val="000000"/>
                </a:solidFill>
                <a:prstDash val="solid"/>
              </a:ln>
            </c:spPr>
          </c:dPt>
          <c:dPt>
            <c:idx val="14"/>
            <c:invertIfNegative val="0"/>
            <c:bubble3D val="0"/>
            <c:spPr>
              <a:solidFill>
                <a:srgbClr val="CCCCFF"/>
              </a:solidFill>
              <a:ln w="10997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rgbClr val="CCCCFF"/>
              </a:solidFill>
              <a:ln w="10997">
                <a:solidFill>
                  <a:srgbClr val="000000"/>
                </a:solidFill>
                <a:prstDash val="solid"/>
              </a:ln>
            </c:spPr>
          </c:dPt>
          <c:dPt>
            <c:idx val="16"/>
            <c:invertIfNegative val="0"/>
            <c:bubble3D val="0"/>
            <c:spPr>
              <a:solidFill>
                <a:srgbClr val="CCCCFF"/>
              </a:solidFill>
              <a:ln w="10997">
                <a:solidFill>
                  <a:srgbClr val="000000"/>
                </a:solidFill>
                <a:prstDash val="solid"/>
              </a:ln>
            </c:spPr>
          </c:dPt>
          <c:dPt>
            <c:idx val="17"/>
            <c:invertIfNegative val="0"/>
            <c:bubble3D val="0"/>
            <c:spPr>
              <a:solidFill>
                <a:srgbClr val="CCCCFF"/>
              </a:solidFill>
              <a:ln w="10997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rgbClr val="CCCCFF"/>
              </a:solidFill>
              <a:ln w="10997">
                <a:solidFill>
                  <a:srgbClr val="000000"/>
                </a:solidFill>
                <a:prstDash val="solid"/>
              </a:ln>
            </c:spPr>
          </c:dPt>
          <c:dPt>
            <c:idx val="19"/>
            <c:invertIfNegative val="0"/>
            <c:bubble3D val="0"/>
            <c:spPr>
              <a:solidFill>
                <a:srgbClr val="CCCCFF"/>
              </a:solidFill>
              <a:ln w="10997">
                <a:solidFill>
                  <a:srgbClr val="000000"/>
                </a:solidFill>
                <a:prstDash val="solid"/>
              </a:ln>
            </c:spPr>
          </c:dPt>
          <c:dPt>
            <c:idx val="20"/>
            <c:invertIfNegative val="0"/>
            <c:bubble3D val="0"/>
            <c:spPr>
              <a:solidFill>
                <a:srgbClr val="CCCCFF"/>
              </a:solidFill>
              <a:ln w="10997">
                <a:solidFill>
                  <a:srgbClr val="000000"/>
                </a:solidFill>
                <a:prstDash val="solid"/>
              </a:ln>
            </c:spPr>
          </c:dPt>
          <c:dPt>
            <c:idx val="21"/>
            <c:invertIfNegative val="0"/>
            <c:bubble3D val="0"/>
            <c:spPr>
              <a:solidFill>
                <a:srgbClr val="CCCCFF"/>
              </a:solidFill>
              <a:ln w="10997">
                <a:solidFill>
                  <a:srgbClr val="000000"/>
                </a:solidFill>
                <a:prstDash val="solid"/>
              </a:ln>
            </c:spPr>
          </c:dPt>
          <c:dPt>
            <c:idx val="22"/>
            <c:invertIfNegative val="0"/>
            <c:bubble3D val="0"/>
            <c:spPr>
              <a:solidFill>
                <a:srgbClr val="CCCCFF"/>
              </a:solidFill>
              <a:ln w="10997">
                <a:solidFill>
                  <a:srgbClr val="000000"/>
                </a:solidFill>
                <a:prstDash val="solid"/>
              </a:ln>
            </c:spPr>
          </c:dPt>
          <c:dPt>
            <c:idx val="23"/>
            <c:invertIfNegative val="0"/>
            <c:bubble3D val="0"/>
            <c:spPr>
              <a:solidFill>
                <a:srgbClr val="CCCCFF"/>
              </a:solidFill>
              <a:ln w="109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4145680184472392E-3"/>
                  <c:y val="2.9750452319547982E-3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116,7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3034655071785702E-3"/>
                  <c:y val="-8.7457490769310142E-3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92,9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923629959099151E-3"/>
                  <c:y val="-2.5498166464982264E-3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96,4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0812604846412461E-3"/>
                  <c:y val="5.6188219595398881E-3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97,2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970065002778697E-3"/>
                  <c:y val="2.0262870564162493E-2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83,0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032969709079784E-2"/>
                  <c:y val="1.5566513843471406E-2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82,2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8057444654280839E-3"/>
                  <c:y val="3.0540063201364986E-3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90,4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0868953880764864E-2"/>
                  <c:y val="-4.5228477648531773E-3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96,4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6.6997473939610641E-3"/>
                  <c:y val="-1.9182767466033313E-3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99,9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1704852833762713E-2"/>
                  <c:y val="-1.2475311373732478E-3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99,9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7.535646346958913E-3"/>
                  <c:y val="-5.7068662604730092E-3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102,0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9.4823353502830887E-3"/>
                  <c:y val="3.4090320874132496E-3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96,9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617282871361936E-3"/>
                  <c:y val="1.278874370532531E-2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105,4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5.190855901140972E-3"/>
                  <c:y val="2.3585743713576128E-2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117,2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3.0777972737547378E-3"/>
                  <c:y val="1.4455405788212903E-3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102,1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6.8705626705464354E-3"/>
                  <c:y val="2.3192455466294098E-2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85,9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6.9650668666416697E-3"/>
                  <c:y val="2.3082271784089815E-2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81,1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1.6848633599699125E-2"/>
                  <c:y val="2.5914609448803749E-2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75,0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1.8795635063965532E-2"/>
                  <c:y val="3.2544528734694933E-2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90,4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1568324601626601E-2"/>
                  <c:y val="2.1376313237522315E-2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96,4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5.578677665291693E-3"/>
                  <c:y val="2.7375190666611763E-2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99,9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1.0583989501312336E-2"/>
                  <c:y val="1.541822978933916E-2"/>
                </c:manualLayout>
              </c:layout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99,9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102,0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tx>
                <c:rich>
                  <a:bodyPr/>
                  <a:lstStyle/>
                  <a:p>
                    <a:pPr>
                      <a:defRPr sz="5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49"/>
                      <a:t>96,9</a:t>
                    </a:r>
                    <a:endParaRPr lang="en-US" sz="500"/>
                  </a:p>
                </c:rich>
              </c:tx>
              <c:spPr>
                <a:noFill/>
                <a:ln w="2199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9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4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Sheet1!$B$1:$S$1</c:f>
              <c:strCache>
                <c:ptCount val="18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  <c:pt idx="12">
                  <c:v>I</c:v>
                </c:pt>
                <c:pt idx="13">
                  <c:v>I-II</c:v>
                </c:pt>
                <c:pt idx="14">
                  <c:v>I-III</c:v>
                </c:pt>
                <c:pt idx="15">
                  <c:v>I-IV</c:v>
                </c:pt>
                <c:pt idx="16">
                  <c:v>I-V</c:v>
                </c:pt>
                <c:pt idx="17">
                  <c:v>I-VI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8"/>
                <c:pt idx="0">
                  <c:v>116.7</c:v>
                </c:pt>
                <c:pt idx="1">
                  <c:v>92.9</c:v>
                </c:pt>
                <c:pt idx="2">
                  <c:v>96.4</c:v>
                </c:pt>
                <c:pt idx="3">
                  <c:v>97.2</c:v>
                </c:pt>
                <c:pt idx="4">
                  <c:v>83</c:v>
                </c:pt>
                <c:pt idx="5">
                  <c:v>82.2</c:v>
                </c:pt>
                <c:pt idx="6">
                  <c:v>90.4</c:v>
                </c:pt>
                <c:pt idx="7">
                  <c:v>96.4</c:v>
                </c:pt>
                <c:pt idx="8">
                  <c:v>99.9</c:v>
                </c:pt>
                <c:pt idx="9">
                  <c:v>99.9</c:v>
                </c:pt>
                <c:pt idx="10">
                  <c:v>102</c:v>
                </c:pt>
                <c:pt idx="11">
                  <c:v>96.9</c:v>
                </c:pt>
                <c:pt idx="12">
                  <c:v>105.4</c:v>
                </c:pt>
                <c:pt idx="13">
                  <c:v>117.2</c:v>
                </c:pt>
                <c:pt idx="14">
                  <c:v>102.1</c:v>
                </c:pt>
                <c:pt idx="15">
                  <c:v>85.9</c:v>
                </c:pt>
                <c:pt idx="16">
                  <c:v>81.099999999999994</c:v>
                </c:pt>
                <c:pt idx="17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6509968"/>
        <c:axId val="786516240"/>
      </c:barChart>
      <c:catAx>
        <c:axId val="786509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2019                                                                               2020</a:t>
                </a:r>
              </a:p>
            </c:rich>
          </c:tx>
          <c:layout>
            <c:manualLayout>
              <c:xMode val="edge"/>
              <c:yMode val="edge"/>
              <c:x val="0.29335813084714107"/>
              <c:y val="0.82726816606487719"/>
            </c:manualLayout>
          </c:layout>
          <c:overlay val="0"/>
          <c:spPr>
            <a:noFill/>
            <a:ln w="21994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27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86516240"/>
        <c:crossesAt val="100"/>
        <c:auto val="1"/>
        <c:lblAlgn val="ctr"/>
        <c:lblOffset val="200"/>
        <c:tickLblSkip val="1"/>
        <c:tickMarkSkip val="1"/>
        <c:noMultiLvlLbl val="0"/>
      </c:catAx>
      <c:valAx>
        <c:axId val="786516240"/>
        <c:scaling>
          <c:orientation val="minMax"/>
          <c:max val="120"/>
          <c:min val="74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86509968"/>
        <c:crosses val="autoZero"/>
        <c:crossBetween val="between"/>
        <c:majorUnit val="10"/>
        <c:minorUnit val="5"/>
      </c:valAx>
      <c:spPr>
        <a:solidFill>
          <a:srgbClr val="FFFFFF"/>
        </a:solidFill>
        <a:ln w="2199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9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Dakina</dc:creator>
  <cp:keywords/>
  <dc:description/>
  <cp:lastModifiedBy>Dakina</cp:lastModifiedBy>
  <cp:revision>2</cp:revision>
  <cp:lastPrinted>2020-08-11T08:36:00Z</cp:lastPrinted>
  <dcterms:created xsi:type="dcterms:W3CDTF">2020-08-11T09:54:00Z</dcterms:created>
  <dcterms:modified xsi:type="dcterms:W3CDTF">2020-08-11T09:54:00Z</dcterms:modified>
</cp:coreProperties>
</file>